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000000" w:themeColor="text1"/>
          <w:sz w:val="40"/>
          <w:szCs w:val="40"/>
          <w:highlight w:val="none"/>
          <w:shd w:val="clear" w:color="auto" w:fill="auto"/>
          <w:lang w:val="en-US" w:eastAsia="zh-CN"/>
          <w14:textFill>
            <w14:solidFill>
              <w14:schemeClr w14:val="tx1"/>
            </w14:solidFill>
          </w14:textFill>
        </w:rPr>
        <w:t>2022年办公设备购置</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项目名称：2022年办公设备购置项目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阜康市青少年活动中心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阜康市青少年活动中心</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000000" w:themeColor="text1"/>
          <w:sz w:val="36"/>
          <w:szCs w:val="36"/>
          <w:highlight w:val="none"/>
          <w:shd w:val="clear" w:color="auto" w:fill="auto"/>
          <w:lang w:val="en-US" w:eastAsia="zh-CN"/>
          <w14:textFill>
            <w14:solidFill>
              <w14:schemeClr w14:val="tx1"/>
            </w14:solidFill>
          </w14:textFill>
        </w:rPr>
        <w:t>2022年办公设备购置项目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rPr>
          <w:rFonts w:hint="eastAsia"/>
          <w:lang w:eastAsia="zh-CN"/>
        </w:rPr>
      </w:pPr>
      <w:r>
        <w:rPr>
          <w:rFonts w:hint="eastAsia"/>
          <w:color w:val="000000" w:themeColor="text1"/>
          <w:lang w:val="en-US" w:eastAsia="zh-CN"/>
          <w14:textFill>
            <w14:solidFill>
              <w14:schemeClr w14:val="tx1"/>
            </w14:solidFill>
          </w14:textFill>
        </w:rPr>
        <w:t>根据</w:t>
      </w:r>
      <w:r>
        <w:rPr>
          <w:rFonts w:hint="eastAsia"/>
          <w:color w:val="000000" w:themeColor="text1"/>
          <w:lang w:eastAsia="zh-CN"/>
          <w14:textFill>
            <w14:solidFill>
              <w14:schemeClr w14:val="tx1"/>
            </w14:solidFill>
          </w14:textFill>
        </w:rPr>
        <w:t>昌吉回族自治州科学技术协会文件昌州</w:t>
      </w:r>
      <w:r>
        <w:rPr>
          <w:rFonts w:hint="eastAsia"/>
          <w:lang w:eastAsia="zh-CN"/>
        </w:rPr>
        <w:t>科协字[2021] 3号</w:t>
      </w:r>
    </w:p>
    <w:p>
      <w:pPr>
        <w:ind w:left="0" w:leftChars="0" w:firstLine="0" w:firstLineChars="0"/>
        <w:rPr>
          <w:rFonts w:hint="eastAsia"/>
          <w:lang w:eastAsia="zh-CN"/>
        </w:rPr>
      </w:pPr>
      <w:r>
        <w:rPr>
          <w:rFonts w:hint="eastAsia"/>
          <w:lang w:eastAsia="zh-CN"/>
        </w:rPr>
        <w:t>关于对2021年自治州“基层科普行动计划”示范集体和科普带头人进奖补的通知：为贯彻落实《全民科学素质行动规划纲要(2021-2035</w:t>
      </w:r>
    </w:p>
    <w:p>
      <w:pPr>
        <w:bidi w:val="0"/>
        <w:ind w:left="0" w:leftChars="0" w:firstLine="0" w:firstLineChars="0"/>
        <w:rPr>
          <w:rFonts w:hint="eastAsia"/>
          <w:lang w:val="en-US" w:eastAsia="zh-CN"/>
        </w:rPr>
      </w:pPr>
      <w:r>
        <w:rPr>
          <w:rFonts w:hint="eastAsia"/>
          <w:lang w:eastAsia="zh-CN"/>
        </w:rPr>
        <w:t>年)》，充分调动全社会深入基层，贴近实际、贴近生活、贴近群众开展科普工作的积极性和主动性，按照《昌吉州“基层科普行动计划”实施办法(试行)》要求，各县市推荐一批科普工作成绩突出、效果显著、群众认可，有较强区域示范作用、辐射性强的示范集体和科普带头人。</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lang w:eastAsia="zh-CN"/>
        </w:rPr>
        <w:t>按照“基层科普行动计划”项目资金使用要求，决定对昌吉州中医学会等16个“基层科普行动计划”示范集体、杨梅等20名科普带头人予以奖补(示范集体奖补1万元;科普带头人奖补2千元) , 共计奖补20万元。</w:t>
      </w:r>
    </w:p>
    <w:p>
      <w:pPr>
        <w:ind w:left="0" w:leftChars="0" w:firstLine="0" w:firstLineChars="0"/>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阜康市青少年活动中心作为科普示范基地，获</w:t>
      </w:r>
      <w:r>
        <w:rPr>
          <w:rFonts w:hint="eastAsia"/>
          <w:lang w:eastAsia="zh-CN"/>
        </w:rPr>
        <w:t>示范集体奖补1万元，</w:t>
      </w:r>
      <w:r>
        <w:rPr>
          <w:rFonts w:hint="eastAsia"/>
          <w:color w:val="auto"/>
          <w:lang w:val="en-US" w:eastAsia="zh-CN"/>
        </w:rPr>
        <w:t>作为</w:t>
      </w:r>
      <w:r>
        <w:rPr>
          <w:rFonts w:hint="eastAsia" w:cs="宋体"/>
          <w:color w:val="auto"/>
          <w:highlight w:val="none"/>
          <w:shd w:val="clear" w:color="auto" w:fill="auto"/>
          <w:lang w:val="en-US" w:eastAsia="zh-CN"/>
        </w:rPr>
        <w:t>2022年办公设备购置项目的资金。</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2022年办公设备购置项目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预算安排总额为</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截止2022年12月31日，2022年办公设备购置项目</w:t>
      </w:r>
      <w:r>
        <w:rPr>
          <w:rFonts w:hint="eastAsia" w:ascii="宋体" w:hAnsi="宋体" w:eastAsia="宋体" w:cs="宋体"/>
          <w:color w:val="000000" w:themeColor="text1"/>
          <w:highlight w:val="none"/>
          <w:shd w:val="clear" w:color="auto" w:fill="auto"/>
          <w14:textFill>
            <w14:solidFill>
              <w14:schemeClr w14:val="tx1"/>
            </w14:solidFill>
          </w14:textFill>
        </w:rPr>
        <w:t>实际支付资金</w:t>
      </w:r>
      <w:r>
        <w:rPr>
          <w:rFonts w:hint="eastAsia" w:cs="宋体"/>
          <w:color w:val="000000" w:themeColor="text1"/>
          <w:highlight w:val="none"/>
          <w:shd w:val="clear" w:color="auto" w:fill="auto"/>
          <w:lang w:val="en-US" w:eastAsia="zh-CN"/>
          <w14:textFill>
            <w14:solidFill>
              <w14:schemeClr w14:val="tx1"/>
            </w14:solidFill>
          </w14:textFill>
        </w:rPr>
        <w:t>0.8</w:t>
      </w:r>
      <w:r>
        <w:rPr>
          <w:rFonts w:hint="eastAsia" w:ascii="宋体" w:hAnsi="宋体" w:eastAsia="宋体" w:cs="宋体"/>
          <w:color w:val="000000" w:themeColor="text1"/>
          <w:highlight w:val="none"/>
          <w:shd w:val="clear" w:color="auto" w:fill="auto"/>
          <w14:textFill>
            <w14:solidFill>
              <w14:schemeClr w14:val="tx1"/>
            </w14:solidFill>
          </w14:textFill>
        </w:rPr>
        <w:t>万元，预算执行率</w:t>
      </w:r>
      <w:r>
        <w:rPr>
          <w:rFonts w:hint="eastAsia" w:cs="宋体"/>
          <w:color w:val="000000" w:themeColor="text1"/>
          <w:highlight w:val="none"/>
          <w:shd w:val="clear" w:color="auto" w:fill="auto"/>
          <w:lang w:val="en-US" w:eastAsia="zh-CN"/>
          <w14:textFill>
            <w14:solidFill>
              <w14:schemeClr w14:val="tx1"/>
            </w14:solidFill>
          </w14:textFill>
        </w:rPr>
        <w:t>80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万元，已上缴国库。</w:t>
      </w:r>
      <w:r>
        <w:rPr>
          <w:rFonts w:hint="eastAsia" w:ascii="宋体" w:hAnsi="宋体" w:eastAsia="宋体" w:cs="宋体"/>
          <w:color w:val="000000" w:themeColor="text1"/>
          <w:highlight w:val="none"/>
          <w:shd w:val="clear" w:color="auto" w:fill="auto"/>
          <w14:textFill>
            <w14:solidFill>
              <w14:schemeClr w14:val="tx1"/>
            </w14:solidFill>
          </w14:textFill>
        </w:rPr>
        <w:t>项目资金主要用于</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办公设备购置</w:t>
      </w:r>
      <w:r>
        <w:rPr>
          <w:rFonts w:hint="eastAsia" w:cs="宋体"/>
          <w:color w:val="000000" w:themeColor="text1"/>
          <w:highlight w:val="none"/>
          <w:shd w:val="clear" w:color="auto" w:fill="auto"/>
          <w:lang w:val="en-US" w:eastAsia="zh-CN"/>
          <w14:textFill>
            <w14:solidFill>
              <w14:schemeClr w14:val="tx1"/>
            </w14:solidFill>
          </w14:textFill>
        </w:rPr>
        <w:t>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8"/>
          <w:szCs w:val="28"/>
          <w:highlight w:val="none"/>
          <w:shd w:val="clear" w:color="auto" w:fill="auto"/>
          <w:lang w:val="en-US" w:eastAsia="zh-CN"/>
        </w:rPr>
      </w:pPr>
      <w:r>
        <w:rPr>
          <w:rFonts w:hint="eastAsia" w:cs="宋体"/>
          <w:color w:val="000000" w:themeColor="text1"/>
          <w:highlight w:val="none"/>
          <w:shd w:val="clear" w:color="auto" w:fill="auto"/>
          <w:lang w:val="en-US" w:eastAsia="zh-CN"/>
          <w14:textFill>
            <w14:solidFill>
              <w14:schemeClr w14:val="tx1"/>
            </w14:solidFill>
          </w14:textFill>
        </w:rPr>
        <w:t>2022年办公设备购置项目绩效总体目标为：</w:t>
      </w:r>
      <w:r>
        <w:rPr>
          <w:rFonts w:hint="eastAsia" w:ascii="宋体" w:hAnsi="宋体" w:eastAsia="宋体" w:cs="宋体"/>
          <w:color w:val="000000" w:themeColor="text1"/>
          <w:kern w:val="0"/>
          <w:sz w:val="28"/>
          <w:szCs w:val="28"/>
          <w14:textFill>
            <w14:solidFill>
              <w14:schemeClr w14:val="tx1"/>
            </w14:solidFill>
          </w14:textFill>
        </w:rPr>
        <w:t>本年度计划采购一批办公设备，保障活动中心各项工</w:t>
      </w:r>
      <w:r>
        <w:rPr>
          <w:rFonts w:hint="eastAsia" w:ascii="宋体" w:hAnsi="宋体" w:eastAsia="宋体" w:cs="宋体"/>
          <w:kern w:val="0"/>
          <w:sz w:val="28"/>
          <w:szCs w:val="28"/>
        </w:rPr>
        <w:t>作平稳进行。</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办公设备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设备验收合格率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pStyle w:val="2"/>
        <w:rPr>
          <w:rFonts w:hint="eastAsia"/>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shd w:val="clear" w:color="auto" w:fill="auto"/>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政府采购覆盖率</w:t>
      </w:r>
      <w:r>
        <w:rPr>
          <w:rFonts w:hint="eastAsia" w:ascii="宋体" w:hAnsi="宋体" w:eastAsia="宋体" w:cs="宋体"/>
          <w:b w:val="0"/>
          <w:bCs w:val="0"/>
          <w:color w:val="000000" w:themeColor="text1"/>
          <w:sz w:val="28"/>
          <w:szCs w:val="28"/>
          <w:highlight w:val="none"/>
          <w:shd w:val="clear" w:color="auto" w:fill="auto"/>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设备采购完成时间</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指标，预期指标值为≤2022年12月；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办公设备采购成本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设备利用率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指标，预期指标值为≥95%；</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社会</w:t>
      </w:r>
      <w:r>
        <w:rPr>
          <w:rFonts w:hint="eastAsia" w:cs="宋体"/>
          <w:color w:val="000000" w:themeColor="text1"/>
          <w:highlight w:val="none"/>
          <w:shd w:val="clear" w:color="auto" w:fill="auto"/>
          <w:lang w:val="en-US" w:eastAsia="zh-CN"/>
          <w14:textFill>
            <w14:solidFill>
              <w14:schemeClr w14:val="tx1"/>
            </w14:solidFill>
          </w14:textFill>
        </w:rPr>
        <w:t>效益</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保障活动中心各项工作平稳进行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指标，预期指标值为保障；</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使用人员满意度</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指标，预期指标值为≥95%</w:t>
      </w:r>
      <w:r>
        <w:rPr>
          <w:rFonts w:hint="eastAsia" w:cs="宋体"/>
          <w:color w:val="000000" w:themeColor="text1"/>
          <w:highlight w:val="none"/>
          <w:shd w:val="clear" w:color="auto" w:fill="auto"/>
          <w:lang w:val="en-US" w:eastAsia="zh-CN"/>
          <w14:textFill>
            <w14:solidFill>
              <w14:schemeClr w14:val="tx1"/>
            </w14:solidFill>
          </w14:textFill>
        </w:rPr>
        <w:t>。</w:t>
      </w:r>
    </w:p>
    <w:p>
      <w:pPr>
        <w:pStyle w:val="3"/>
        <w:bidi w:val="0"/>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2922"/>
      <w:bookmarkStart w:id="1" w:name="_Toc5258"/>
      <w:bookmarkStart w:id="2" w:name="_Toc12868"/>
      <w:bookmarkStart w:id="3" w:name="_Toc21664"/>
      <w:bookmarkStart w:id="4" w:name="_Toc480473081"/>
      <w:bookmarkStart w:id="5" w:name="_Toc22169_WPSOffice_Level2"/>
      <w:bookmarkStart w:id="6" w:name="_Toc5462343"/>
      <w:bookmarkStart w:id="7" w:name="_Toc2663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年度我单位实施的2022年办公设备购置项目开展部门绩效评价。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000000" w:themeColor="text1"/>
          <w:highlight w:val="none"/>
          <w:shd w:val="clear" w:color="auto" w:fill="auto"/>
          <w:lang w:val="en-US" w:eastAsia="zh-CN"/>
          <w14:textFill>
            <w14:solidFill>
              <w14:schemeClr w14:val="tx1"/>
            </w14:solidFill>
          </w14:textFill>
        </w:rPr>
        <w:t>2022年办公设备购置项目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28278230"/>
      <w:bookmarkStart w:id="9" w:name="_Toc26131"/>
      <w:bookmarkStart w:id="10" w:name="_Toc1913"/>
      <w:bookmarkStart w:id="11" w:name="_Toc419984722"/>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2"/>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000000" w:themeColor="text1"/>
          <w:highlight w:val="none"/>
          <w:shd w:val="clear" w:color="auto" w:fill="auto"/>
          <w:lang w:val="en-US" w:eastAsia="zh-CN"/>
          <w14:textFill>
            <w14:solidFill>
              <w14:schemeClr w14:val="tx1"/>
            </w14:solidFill>
          </w14:textFill>
        </w:rPr>
        <w:t>2022年办公设备购置项目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2022年办公设备购置项目</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对</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2022年办公设备购置项目</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绩效进行客观评价，最终评</w:t>
      </w:r>
      <w:r>
        <w:rPr>
          <w:rFonts w:hint="eastAsia" w:ascii="宋体" w:hAnsi="宋体" w:eastAsia="宋体" w:cs="宋体"/>
          <w:color w:val="auto"/>
          <w:highlight w:val="none"/>
          <w:shd w:val="clear" w:color="auto" w:fill="auto"/>
          <w:lang w:val="zh-TW" w:eastAsia="zh-TW"/>
        </w:rPr>
        <w:t>分结果：总分为</w:t>
      </w:r>
      <w:r>
        <w:rPr>
          <w:rFonts w:hint="eastAsia" w:cs="宋体"/>
          <w:color w:val="auto"/>
          <w:highlight w:val="none"/>
          <w:shd w:val="clear" w:color="auto" w:fill="auto"/>
          <w:lang w:val="en-US" w:eastAsia="zh-CN"/>
        </w:rPr>
        <w:t>98</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zh-TW"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2"/>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val="en-US" w:eastAsia="zh-CN"/>
              </w:rPr>
              <w:t>2022年办公设备购置项目</w:t>
            </w:r>
            <w:r>
              <w:rPr>
                <w:rFonts w:hint="eastAsia" w:ascii="宋体" w:hAnsi="宋体" w:eastAsia="宋体" w:cs="宋体"/>
                <w:b/>
                <w:bCs/>
                <w:color w:val="auto"/>
                <w:kern w:val="0"/>
                <w:sz w:val="28"/>
                <w:szCs w:val="28"/>
                <w:highlight w:val="none"/>
                <w:shd w:val="clear" w:color="auto" w:fill="auto"/>
                <w:lang w:val="en-US" w:eastAsia="zh-CN"/>
              </w:rPr>
              <w:t>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28.8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2"/>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highlight w:val="none"/>
          <w:lang w:eastAsia="zh-CN"/>
        </w:rPr>
      </w:pPr>
      <w:r>
        <w:rPr>
          <w:rFonts w:hint="eastAsia"/>
          <w:lang w:eastAsia="zh-CN"/>
        </w:rPr>
        <w:t>①项目立项符合国家《中华人民共和国预算法》《中共中央国务院关于全面实施预算绩效管理的意见》及《省委省人民政府关于全面落实预算绩效管理的实施意见》</w:t>
      </w:r>
      <w:r>
        <w:rPr>
          <w:rFonts w:hint="eastAsia"/>
          <w:highlight w:val="none"/>
          <w:lang w:val="en-US" w:eastAsia="zh-CN"/>
        </w:rPr>
        <w:t>等</w:t>
      </w:r>
      <w:r>
        <w:rPr>
          <w:rFonts w:hint="eastAsia"/>
          <w:highlight w:val="none"/>
          <w:lang w:eastAsia="zh-CN"/>
        </w:rPr>
        <w:t>相关政策；</w:t>
      </w:r>
    </w:p>
    <w:p>
      <w:pPr>
        <w:bidi w:val="0"/>
        <w:rPr>
          <w:rFonts w:hint="eastAsia"/>
          <w:lang w:eastAsia="zh-CN"/>
        </w:rPr>
      </w:pPr>
      <w:r>
        <w:rPr>
          <w:rFonts w:hint="eastAsia"/>
          <w:lang w:eastAsia="zh-CN"/>
        </w:rPr>
        <w:t>②项目立项符合</w:t>
      </w:r>
      <w:r>
        <w:rPr>
          <w:rFonts w:hint="eastAsia"/>
          <w:lang w:val="en-US" w:eastAsia="zh-CN"/>
        </w:rPr>
        <w:t>财政预算资金安排的</w:t>
      </w:r>
      <w:r>
        <w:rPr>
          <w:rFonts w:hint="eastAsia"/>
          <w:highlight w:val="none"/>
          <w:lang w:eastAsia="zh-CN"/>
        </w:rPr>
        <w:t>政策要求；</w:t>
      </w:r>
    </w:p>
    <w:p>
      <w:pPr>
        <w:bidi w:val="0"/>
        <w:rPr>
          <w:rFonts w:hint="eastAsia"/>
          <w:lang w:eastAsia="zh-CN"/>
        </w:rPr>
      </w:pPr>
      <w:r>
        <w:rPr>
          <w:rFonts w:hint="eastAsia"/>
          <w:lang w:eastAsia="zh-CN"/>
        </w:rPr>
        <w:t>③项目立项与部门职责范围相符，属于部门履职所需；</w:t>
      </w:r>
    </w:p>
    <w:p>
      <w:pPr>
        <w:bidi w:val="0"/>
        <w:rPr>
          <w:rFonts w:hint="eastAsia"/>
          <w:color w:val="000000" w:themeColor="text1"/>
          <w:lang w:eastAsia="zh-CN"/>
          <w14:textFill>
            <w14:solidFill>
              <w14:schemeClr w14:val="tx1"/>
            </w14:solidFill>
          </w14:textFill>
        </w:rPr>
      </w:pPr>
      <w:r>
        <w:rPr>
          <w:rFonts w:hint="eastAsia"/>
          <w:lang w:eastAsia="zh-CN"/>
        </w:rPr>
        <w:t>④项目属于公共财政支持范围，符合中央、地方事权支出责任划分原则；</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⑤项目与相关部门同类项目或部门内部相关项目</w:t>
      </w:r>
      <w:r>
        <w:rPr>
          <w:rFonts w:hint="eastAsia"/>
          <w:color w:val="000000" w:themeColor="text1"/>
          <w:lang w:val="en-US" w:eastAsia="zh-CN"/>
          <w14:textFill>
            <w14:solidFill>
              <w14:schemeClr w14:val="tx1"/>
            </w14:solidFill>
          </w14:textFill>
        </w:rPr>
        <w:t>不</w:t>
      </w:r>
      <w:r>
        <w:rPr>
          <w:rFonts w:hint="eastAsia"/>
          <w:color w:val="000000" w:themeColor="text1"/>
          <w:lang w:eastAsia="zh-CN"/>
          <w14:textFill>
            <w14:solidFill>
              <w14:schemeClr w14:val="tx1"/>
            </w14:solidFill>
          </w14:textFill>
        </w:rPr>
        <w:t>重复。</w:t>
      </w:r>
    </w:p>
    <w:p>
      <w:pPr>
        <w:bidi w:val="0"/>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2.立项程序规范性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①项目按照规定的程序申请设立；</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②审批文件、材料符合相关要求；</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③事前经过必要的集体决策。</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3.绩效目标合理性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①项目有绩效目标；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②项目绩效目标与实际工作内容具有相关性；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③项目预期产出效益和效果符合正常的业绩水平；</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④与预算确定的项目投资额或资金量相匹配。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4.绩效指标明确性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①将项目绩效目标细化分解为具体的绩效指标；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②通过清晰、可衡量的指标值予以体现；</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③与项目目标任务数或计划数相对应。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5.预算编制科学性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①预算编制经过科学论证；</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②预算内容与项目内容匹配；</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③预算额度测算依据充分，按照标准编制；</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④预算确定的项目投资额或资金量与工作任务相匹配。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6.资金分配合理性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①预算资金分配依据充分；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②资金分配额度合理，与项目单位或地方实际相适应。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过程</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管理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19.2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2"/>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3.2</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pPr>
        <w:numPr>
          <w:ilvl w:val="0"/>
          <w:numId w:val="4"/>
        </w:numPr>
        <w:bidi w:val="0"/>
        <w:rPr>
          <w:rFonts w:hint="eastAsia"/>
          <w:b/>
          <w:bCs/>
          <w:lang w:val="en-US" w:eastAsia="zh-CN"/>
        </w:rPr>
      </w:pPr>
      <w:r>
        <w:rPr>
          <w:rFonts w:hint="eastAsia"/>
          <w:b/>
          <w:bCs/>
          <w:lang w:val="en-US" w:eastAsia="zh-CN"/>
        </w:rPr>
        <w:t>资金到位率</w:t>
      </w:r>
    </w:p>
    <w:p>
      <w:pPr>
        <w:numPr>
          <w:ilvl w:val="0"/>
          <w:numId w:val="0"/>
        </w:numPr>
        <w:bidi w:val="0"/>
        <w:ind w:firstLine="560" w:firstLineChars="200"/>
        <w:rPr>
          <w:rFonts w:hint="default"/>
          <w:b/>
          <w:bCs/>
          <w:color w:val="000000" w:themeColor="text1"/>
          <w:lang w:val="en-US" w:eastAsia="zh-CN"/>
          <w14:textFill>
            <w14:solidFill>
              <w14:schemeClr w14:val="tx1"/>
            </w14:solidFill>
          </w14:textFill>
        </w:rPr>
      </w:pPr>
      <w:r>
        <w:rPr>
          <w:rFonts w:hint="eastAsia"/>
          <w:lang w:eastAsia="zh-CN"/>
        </w:rPr>
        <w:t>资金到位</w:t>
      </w:r>
      <w:r>
        <w:rPr>
          <w:rFonts w:hint="eastAsia"/>
          <w:color w:val="000000" w:themeColor="text1"/>
          <w:lang w:eastAsia="zh-CN"/>
          <w14:textFill>
            <w14:solidFill>
              <w14:schemeClr w14:val="tx1"/>
            </w14:solidFill>
          </w14:textFill>
        </w:rPr>
        <w:t>率=（</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2.预算执行率</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预算执行率=（</w:t>
      </w:r>
      <w:r>
        <w:rPr>
          <w:rFonts w:hint="eastAsia"/>
          <w:color w:val="000000" w:themeColor="text1"/>
          <w:lang w:val="en-US" w:eastAsia="zh-CN"/>
          <w14:textFill>
            <w14:solidFill>
              <w14:schemeClr w14:val="tx1"/>
            </w14:solidFill>
          </w14:textFill>
        </w:rPr>
        <w:t>0.8</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=80%</w:t>
      </w:r>
    </w:p>
    <w:p>
      <w:pPr>
        <w:bidi w:val="0"/>
        <w:rPr>
          <w:rFonts w:hint="eastAsia"/>
          <w:lang w:eastAsia="zh-CN"/>
        </w:rPr>
      </w:pPr>
      <w:r>
        <w:rPr>
          <w:rFonts w:hint="eastAsia"/>
          <w:b/>
          <w:bCs/>
          <w:color w:val="000000" w:themeColor="text1"/>
          <w:lang w:val="en-US" w:eastAsia="zh-CN"/>
          <w14:textFill>
            <w14:solidFill>
              <w14:schemeClr w14:val="tx1"/>
            </w14:solidFill>
          </w14:textFill>
        </w:rPr>
        <w:t>综上，该项指标满分4分，得分3.2分</w:t>
      </w:r>
      <w:r>
        <w:rPr>
          <w:rFonts w:hint="eastAsia"/>
          <w:b/>
          <w:bCs/>
          <w:lang w:val="en-US" w:eastAsia="zh-CN"/>
        </w:rPr>
        <w:t>。</w:t>
      </w:r>
    </w:p>
    <w:p>
      <w:pPr>
        <w:bidi w:val="0"/>
        <w:rPr>
          <w:rFonts w:hint="default"/>
          <w:b/>
          <w:bCs/>
          <w:lang w:val="en-US" w:eastAsia="zh-CN"/>
        </w:rPr>
      </w:pPr>
      <w:r>
        <w:rPr>
          <w:rFonts w:hint="eastAsia"/>
          <w:b/>
          <w:bCs/>
          <w:lang w:val="en-US" w:eastAsia="zh-CN"/>
        </w:rPr>
        <w:t>3.资金使用合规性</w:t>
      </w:r>
    </w:p>
    <w:p>
      <w:pPr>
        <w:bidi w:val="0"/>
        <w:rPr>
          <w:rFonts w:hint="eastAsia" w:ascii="宋体" w:hAnsi="宋体" w:eastAsia="宋体" w:cs="宋体"/>
          <w:sz w:val="28"/>
          <w:szCs w:val="28"/>
          <w:highlight w:val="none"/>
          <w:lang w:eastAsia="zh-CN"/>
        </w:rPr>
      </w:pPr>
      <w:r>
        <w:rPr>
          <w:rFonts w:hint="eastAsia" w:ascii="宋体" w:hAnsi="宋体" w:eastAsia="宋体" w:cs="宋体"/>
          <w:sz w:val="28"/>
          <w:szCs w:val="28"/>
          <w:lang w:eastAsia="zh-CN"/>
        </w:rPr>
        <w:t>①符合国家</w:t>
      </w:r>
      <w:r>
        <w:rPr>
          <w:rFonts w:hint="eastAsia" w:ascii="宋体" w:hAnsi="宋体" w:eastAsia="宋体" w:cs="宋体"/>
          <w:b w:val="0"/>
          <w:bCs w:val="0"/>
          <w:i w:val="0"/>
          <w:iCs w:val="0"/>
          <w:caps w:val="0"/>
          <w:color w:val="000000"/>
          <w:spacing w:val="0"/>
          <w:sz w:val="28"/>
          <w:szCs w:val="28"/>
          <w:shd w:val="clear" w:fill="FFFFFF"/>
        </w:rPr>
        <w:t>《中华人民共和国预算法》</w:t>
      </w:r>
      <w:r>
        <w:rPr>
          <w:rFonts w:hint="eastAsia" w:ascii="宋体" w:hAnsi="宋体" w:eastAsia="宋体" w:cs="宋体"/>
          <w:b w:val="0"/>
          <w:bCs w:val="0"/>
          <w:i w:val="0"/>
          <w:iCs w:val="0"/>
          <w:caps w:val="0"/>
          <w:color w:val="000000"/>
          <w:spacing w:val="0"/>
          <w:sz w:val="28"/>
          <w:szCs w:val="28"/>
          <w:shd w:val="clear" w:fill="FFFFFF"/>
          <w:lang w:eastAsia="zh-CN"/>
        </w:rPr>
        <w:t>、</w:t>
      </w:r>
      <w:r>
        <w:rPr>
          <w:rFonts w:hint="eastAsia" w:ascii="宋体" w:hAnsi="宋体" w:eastAsia="宋体" w:cs="宋体"/>
          <w:b w:val="0"/>
          <w:bCs w:val="0"/>
          <w:i w:val="0"/>
          <w:iCs w:val="0"/>
          <w:caps w:val="0"/>
          <w:color w:val="000000"/>
          <w:spacing w:val="0"/>
          <w:sz w:val="28"/>
          <w:szCs w:val="28"/>
          <w:shd w:val="clear" w:fill="FFFFFF"/>
        </w:rPr>
        <w:t>《中华人民共和国</w:t>
      </w:r>
      <w:r>
        <w:rPr>
          <w:rFonts w:hint="eastAsia" w:ascii="宋体" w:hAnsi="宋体" w:eastAsia="宋体" w:cs="宋体"/>
          <w:b w:val="0"/>
          <w:bCs w:val="0"/>
          <w:i w:val="0"/>
          <w:iCs w:val="0"/>
          <w:caps w:val="0"/>
          <w:color w:val="000000"/>
          <w:spacing w:val="0"/>
          <w:sz w:val="28"/>
          <w:szCs w:val="28"/>
          <w:shd w:val="clear" w:fill="FFFFFF"/>
          <w:lang w:val="en-US" w:eastAsia="zh-CN"/>
        </w:rPr>
        <w:t>政府采购</w:t>
      </w:r>
      <w:r>
        <w:rPr>
          <w:rFonts w:hint="eastAsia" w:ascii="宋体" w:hAnsi="宋体" w:eastAsia="宋体" w:cs="宋体"/>
          <w:b w:val="0"/>
          <w:bCs w:val="0"/>
          <w:i w:val="0"/>
          <w:iCs w:val="0"/>
          <w:caps w:val="0"/>
          <w:color w:val="000000"/>
          <w:spacing w:val="0"/>
          <w:sz w:val="28"/>
          <w:szCs w:val="28"/>
          <w:shd w:val="clear" w:fill="FFFFFF"/>
        </w:rPr>
        <w:t>法》</w:t>
      </w:r>
      <w:r>
        <w:rPr>
          <w:rFonts w:hint="eastAsia" w:ascii="宋体" w:hAnsi="宋体" w:eastAsia="宋体" w:cs="宋体"/>
          <w:b w:val="0"/>
          <w:bCs w:val="0"/>
          <w:i w:val="0"/>
          <w:iCs w:val="0"/>
          <w:caps w:val="0"/>
          <w:color w:val="000000"/>
          <w:spacing w:val="0"/>
          <w:sz w:val="28"/>
          <w:szCs w:val="28"/>
          <w:shd w:val="clear" w:fill="FFFFFF"/>
          <w:lang w:eastAsia="zh-CN"/>
        </w:rPr>
        <w:t>、</w:t>
      </w:r>
      <w:r>
        <w:rPr>
          <w:rFonts w:hint="eastAsia" w:ascii="宋体" w:hAnsi="宋体" w:eastAsia="宋体" w:cs="宋体"/>
          <w:sz w:val="28"/>
          <w:szCs w:val="28"/>
          <w:lang w:eastAsia="zh-CN"/>
        </w:rPr>
        <w:t>《</w:t>
      </w:r>
      <w:r>
        <w:rPr>
          <w:rFonts w:hint="eastAsia" w:ascii="宋体" w:hAnsi="宋体" w:eastAsia="宋体" w:cs="宋体"/>
          <w:sz w:val="28"/>
          <w:szCs w:val="28"/>
        </w:rPr>
        <w:t>中华人民共和国经济合同法</w:t>
      </w:r>
      <w:r>
        <w:rPr>
          <w:rFonts w:hint="eastAsia" w:ascii="宋体" w:hAnsi="宋体" w:eastAsia="宋体" w:cs="宋体"/>
          <w:sz w:val="28"/>
          <w:szCs w:val="28"/>
          <w:lang w:eastAsia="zh-CN"/>
        </w:rPr>
        <w:t>》、</w:t>
      </w:r>
      <w:r>
        <w:rPr>
          <w:rFonts w:hint="eastAsia" w:ascii="宋体" w:hAnsi="宋体" w:eastAsia="宋体" w:cs="宋体"/>
          <w:b w:val="0"/>
          <w:bCs w:val="0"/>
          <w:i w:val="0"/>
          <w:iCs w:val="0"/>
          <w:caps w:val="0"/>
          <w:color w:val="000000"/>
          <w:spacing w:val="0"/>
          <w:sz w:val="28"/>
          <w:szCs w:val="28"/>
          <w:shd w:val="clear" w:fill="FFFFFF"/>
          <w:lang w:eastAsia="zh-CN"/>
        </w:rPr>
        <w:t>《</w:t>
      </w:r>
      <w:r>
        <w:rPr>
          <w:rFonts w:hint="eastAsia" w:ascii="宋体" w:hAnsi="宋体" w:eastAsia="宋体" w:cs="宋体"/>
          <w:b w:val="0"/>
          <w:bCs w:val="0"/>
          <w:i w:val="0"/>
          <w:iCs w:val="0"/>
          <w:caps w:val="0"/>
          <w:color w:val="000000"/>
          <w:spacing w:val="0"/>
          <w:sz w:val="28"/>
          <w:szCs w:val="28"/>
          <w:shd w:val="clear" w:fill="FFFFFF"/>
          <w:lang w:val="en-US" w:eastAsia="zh-CN"/>
        </w:rPr>
        <w:t>政府</w:t>
      </w:r>
      <w:r>
        <w:rPr>
          <w:rFonts w:hint="eastAsia" w:ascii="宋体" w:hAnsi="宋体" w:eastAsia="宋体" w:cs="宋体"/>
          <w:sz w:val="28"/>
          <w:szCs w:val="28"/>
          <w:highlight w:val="none"/>
          <w:lang w:eastAsia="zh-CN"/>
        </w:rPr>
        <w:t>财务管理制度</w:t>
      </w:r>
      <w:r>
        <w:rPr>
          <w:rFonts w:hint="eastAsia" w:ascii="宋体" w:hAnsi="宋体" w:eastAsia="宋体" w:cs="宋体"/>
          <w:b w:val="0"/>
          <w:bCs w:val="0"/>
          <w:i w:val="0"/>
          <w:iCs w:val="0"/>
          <w:caps w:val="0"/>
          <w:color w:val="000000"/>
          <w:spacing w:val="0"/>
          <w:sz w:val="28"/>
          <w:szCs w:val="28"/>
          <w:highlight w:val="none"/>
          <w:shd w:val="clear" w:fill="FFFFFF"/>
          <w:lang w:eastAsia="zh-CN"/>
        </w:rPr>
        <w:t>》</w:t>
      </w:r>
      <w:r>
        <w:rPr>
          <w:rFonts w:hint="eastAsia" w:ascii="宋体" w:hAnsi="宋体" w:eastAsia="宋体" w:cs="宋体"/>
          <w:sz w:val="28"/>
          <w:szCs w:val="28"/>
          <w:highlight w:val="none"/>
          <w:lang w:val="en-US" w:eastAsia="zh-CN"/>
        </w:rPr>
        <w:t>等</w:t>
      </w:r>
      <w:r>
        <w:rPr>
          <w:rFonts w:hint="eastAsia"/>
          <w:highlight w:val="none"/>
          <w:lang w:eastAsia="zh-CN"/>
        </w:rPr>
        <w:t>法律法规和相关管理</w:t>
      </w:r>
      <w:r>
        <w:rPr>
          <w:rFonts w:hint="eastAsia" w:ascii="宋体" w:hAnsi="宋体" w:eastAsia="宋体" w:cs="宋体"/>
          <w:sz w:val="28"/>
          <w:szCs w:val="28"/>
          <w:highlight w:val="none"/>
          <w:lang w:eastAsia="zh-CN"/>
        </w:rPr>
        <w:t>的规定；</w:t>
      </w:r>
    </w:p>
    <w:p>
      <w:pPr>
        <w:bidi w:val="0"/>
        <w:rPr>
          <w:rFonts w:hint="eastAsia"/>
          <w:lang w:eastAsia="zh-CN"/>
        </w:rPr>
      </w:pPr>
      <w:r>
        <w:rPr>
          <w:rFonts w:hint="eastAsia"/>
          <w:lang w:eastAsia="zh-CN"/>
        </w:rPr>
        <w:t>②资金的拨付有完整的审批程序和手续；</w:t>
      </w:r>
    </w:p>
    <w:p>
      <w:pPr>
        <w:bidi w:val="0"/>
        <w:rPr>
          <w:rFonts w:hint="eastAsia"/>
          <w:color w:val="000000" w:themeColor="text1"/>
          <w:lang w:eastAsia="zh-CN"/>
          <w14:textFill>
            <w14:solidFill>
              <w14:schemeClr w14:val="tx1"/>
            </w14:solidFill>
          </w14:textFill>
        </w:rPr>
      </w:pPr>
      <w:r>
        <w:rPr>
          <w:rFonts w:hint="eastAsia"/>
          <w:lang w:eastAsia="zh-CN"/>
        </w:rPr>
        <w:t>③符合项目预算批</w:t>
      </w:r>
      <w:r>
        <w:rPr>
          <w:rFonts w:hint="eastAsia"/>
          <w:color w:val="000000" w:themeColor="text1"/>
          <w:lang w:eastAsia="zh-CN"/>
          <w14:textFill>
            <w14:solidFill>
              <w14:schemeClr w14:val="tx1"/>
            </w14:solidFill>
          </w14:textFill>
        </w:rPr>
        <w:t>复或合同规定的用途；</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不</w:t>
      </w:r>
      <w:r>
        <w:rPr>
          <w:rFonts w:hint="eastAsia"/>
          <w:color w:val="000000" w:themeColor="text1"/>
          <w:lang w:eastAsia="zh-CN"/>
          <w14:textFill>
            <w14:solidFill>
              <w14:schemeClr w14:val="tx1"/>
            </w14:solidFill>
          </w14:textFill>
        </w:rPr>
        <w:t>存在截留、挤占、挪用、虚列支出等情况。</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numPr>
          <w:ilvl w:val="0"/>
          <w:numId w:val="0"/>
        </w:numPr>
        <w:bidi w:val="0"/>
        <w:ind w:firstLine="562"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4.管理制度健全性</w:t>
      </w:r>
    </w:p>
    <w:p>
      <w:pPr>
        <w:numPr>
          <w:ilvl w:val="0"/>
          <w:numId w:val="0"/>
        </w:numPr>
        <w:bidi w:val="0"/>
        <w:ind w:firstLine="56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①已制定或具有相应的</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阜康市青少年活动中心</w:t>
      </w:r>
      <w:r>
        <w:rPr>
          <w:rFonts w:hint="eastAsia"/>
          <w:color w:val="000000" w:themeColor="text1"/>
          <w:highlight w:val="none"/>
          <w:lang w:eastAsia="zh-CN"/>
          <w14:textFill>
            <w14:solidFill>
              <w14:schemeClr w14:val="tx1"/>
            </w14:solidFill>
          </w14:textFill>
        </w:rPr>
        <w:t>财务管理制度》《</w:t>
      </w:r>
      <w:r>
        <w:rPr>
          <w:rFonts w:hint="eastAsia"/>
          <w:color w:val="000000" w:themeColor="text1"/>
          <w:lang w:val="en-US" w:eastAsia="zh-CN"/>
          <w14:textFill>
            <w14:solidFill>
              <w14:schemeClr w14:val="tx1"/>
            </w14:solidFill>
          </w14:textFill>
        </w:rPr>
        <w:t>阜康市青少年活动中心采购管理制度</w:t>
      </w:r>
      <w:r>
        <w:rPr>
          <w:rFonts w:hint="eastAsia"/>
          <w:color w:val="000000" w:themeColor="text1"/>
          <w:highlight w:val="none"/>
          <w:lang w:eastAsia="zh-CN"/>
          <w14:textFill>
            <w14:solidFill>
              <w14:schemeClr w14:val="tx1"/>
            </w14:solidFill>
          </w14:textFill>
        </w:rPr>
        <w:t>》</w:t>
      </w:r>
      <w:r>
        <w:rPr>
          <w:rFonts w:hint="eastAsia"/>
          <w:color w:val="000000" w:themeColor="text1"/>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②财务和业务管理制度合法、合规、完整。</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ind w:left="1403" w:leftChars="200" w:hanging="843" w:hangingChars="300"/>
        <w:rPr>
          <w:rFonts w:hint="eastAsia"/>
          <w:b/>
          <w:bCs/>
          <w:lang w:val="en-US" w:eastAsia="zh-CN"/>
        </w:rPr>
      </w:pPr>
      <w:r>
        <w:rPr>
          <w:rFonts w:hint="eastAsia"/>
          <w:b/>
          <w:bCs/>
          <w:lang w:val="en-US" w:eastAsia="zh-CN"/>
        </w:rPr>
        <w:t>5.制度执行有效性</w:t>
      </w:r>
    </w:p>
    <w:p>
      <w:pPr>
        <w:bidi w:val="0"/>
        <w:rPr>
          <w:rFonts w:hint="eastAsia"/>
          <w:highlight w:val="none"/>
          <w:lang w:eastAsia="zh-CN"/>
        </w:rPr>
      </w:pPr>
      <w:r>
        <w:rPr>
          <w:rFonts w:hint="eastAsia"/>
          <w:lang w:eastAsia="zh-CN"/>
        </w:rPr>
        <w:t>①遵守相关</w:t>
      </w:r>
      <w:r>
        <w:rPr>
          <w:rFonts w:hint="eastAsia" w:ascii="宋体" w:hAnsi="宋体" w:eastAsia="宋体" w:cs="宋体"/>
          <w:b w:val="0"/>
          <w:bCs w:val="0"/>
          <w:i w:val="0"/>
          <w:iCs w:val="0"/>
          <w:caps w:val="0"/>
          <w:color w:val="000000"/>
          <w:spacing w:val="0"/>
          <w:sz w:val="28"/>
          <w:szCs w:val="28"/>
          <w:shd w:val="clear" w:fill="FFFFFF"/>
        </w:rPr>
        <w:t>《中华人民共和国预算法》</w:t>
      </w:r>
      <w:r>
        <w:rPr>
          <w:rFonts w:hint="eastAsia" w:cs="宋体"/>
          <w:b w:val="0"/>
          <w:bCs w:val="0"/>
          <w:i w:val="0"/>
          <w:iCs w:val="0"/>
          <w:caps w:val="0"/>
          <w:color w:val="000000"/>
          <w:spacing w:val="0"/>
          <w:sz w:val="28"/>
          <w:szCs w:val="28"/>
          <w:shd w:val="clear" w:fill="FFFFFF"/>
          <w:lang w:eastAsia="zh-CN"/>
        </w:rPr>
        <w:t>、</w:t>
      </w:r>
      <w:r>
        <w:rPr>
          <w:rFonts w:hint="eastAsia" w:ascii="宋体" w:hAnsi="宋体" w:eastAsia="宋体" w:cs="宋体"/>
          <w:b w:val="0"/>
          <w:bCs w:val="0"/>
          <w:i w:val="0"/>
          <w:iCs w:val="0"/>
          <w:caps w:val="0"/>
          <w:color w:val="000000"/>
          <w:spacing w:val="0"/>
          <w:sz w:val="28"/>
          <w:szCs w:val="28"/>
          <w:shd w:val="clear" w:fill="FFFFFF"/>
        </w:rPr>
        <w:t>《中华人民共和国</w:t>
      </w:r>
      <w:r>
        <w:rPr>
          <w:rFonts w:hint="eastAsia" w:ascii="宋体" w:hAnsi="宋体" w:eastAsia="宋体" w:cs="宋体"/>
          <w:b w:val="0"/>
          <w:bCs w:val="0"/>
          <w:i w:val="0"/>
          <w:iCs w:val="0"/>
          <w:caps w:val="0"/>
          <w:color w:val="000000"/>
          <w:spacing w:val="0"/>
          <w:sz w:val="28"/>
          <w:szCs w:val="28"/>
          <w:shd w:val="clear" w:fill="FFFFFF"/>
          <w:lang w:val="en-US" w:eastAsia="zh-CN"/>
        </w:rPr>
        <w:t>政府采购</w:t>
      </w:r>
      <w:r>
        <w:rPr>
          <w:rFonts w:hint="eastAsia" w:ascii="宋体" w:hAnsi="宋体" w:eastAsia="宋体" w:cs="宋体"/>
          <w:b w:val="0"/>
          <w:bCs w:val="0"/>
          <w:i w:val="0"/>
          <w:iCs w:val="0"/>
          <w:caps w:val="0"/>
          <w:color w:val="000000"/>
          <w:spacing w:val="0"/>
          <w:sz w:val="28"/>
          <w:szCs w:val="28"/>
          <w:shd w:val="clear" w:fill="FFFFFF"/>
        </w:rPr>
        <w:t>法》</w:t>
      </w:r>
      <w:r>
        <w:rPr>
          <w:rFonts w:hint="eastAsia" w:cs="宋体"/>
          <w:b w:val="0"/>
          <w:bCs w:val="0"/>
          <w:i w:val="0"/>
          <w:iCs w:val="0"/>
          <w:caps w:val="0"/>
          <w:color w:val="000000"/>
          <w:spacing w:val="0"/>
          <w:sz w:val="28"/>
          <w:szCs w:val="28"/>
          <w:shd w:val="clear" w:fill="FFFFFF"/>
          <w:lang w:eastAsia="zh-CN"/>
        </w:rPr>
        <w:t>、</w:t>
      </w:r>
      <w:r>
        <w:rPr>
          <w:rFonts w:hint="eastAsia" w:ascii="宋体" w:hAnsi="宋体" w:eastAsia="宋体" w:cs="宋体"/>
          <w:sz w:val="28"/>
          <w:szCs w:val="28"/>
          <w:lang w:eastAsia="zh-CN"/>
        </w:rPr>
        <w:t>《</w:t>
      </w:r>
      <w:r>
        <w:rPr>
          <w:rFonts w:hint="eastAsia" w:ascii="宋体" w:hAnsi="宋体" w:eastAsia="宋体" w:cs="宋体"/>
          <w:sz w:val="28"/>
          <w:szCs w:val="28"/>
        </w:rPr>
        <w:t>中华人民共和国经济合同法</w:t>
      </w:r>
      <w:r>
        <w:rPr>
          <w:rFonts w:hint="eastAsia" w:ascii="宋体" w:hAnsi="宋体" w:eastAsia="宋体" w:cs="宋体"/>
          <w:sz w:val="28"/>
          <w:szCs w:val="28"/>
          <w:lang w:eastAsia="zh-CN"/>
        </w:rPr>
        <w:t>》</w:t>
      </w:r>
      <w:r>
        <w:rPr>
          <w:rFonts w:hint="eastAsia" w:cs="宋体"/>
          <w:b w:val="0"/>
          <w:bCs w:val="0"/>
          <w:i w:val="0"/>
          <w:iCs w:val="0"/>
          <w:caps w:val="0"/>
          <w:color w:val="000000"/>
          <w:spacing w:val="0"/>
          <w:sz w:val="28"/>
          <w:szCs w:val="28"/>
          <w:shd w:val="clear" w:fill="FFFFFF"/>
          <w:lang w:val="en-US" w:eastAsia="zh-CN"/>
        </w:rPr>
        <w:t>等</w:t>
      </w:r>
      <w:r>
        <w:rPr>
          <w:rFonts w:hint="eastAsia"/>
          <w:highlight w:val="none"/>
          <w:lang w:eastAsia="zh-CN"/>
        </w:rPr>
        <w:t>法律法规和相关管理规定；</w:t>
      </w:r>
    </w:p>
    <w:p>
      <w:pPr>
        <w:bidi w:val="0"/>
        <w:rPr>
          <w:rFonts w:hint="eastAsia"/>
          <w:highlight w:val="none"/>
          <w:lang w:eastAsia="zh-CN"/>
        </w:rPr>
      </w:pPr>
      <w:r>
        <w:rPr>
          <w:rFonts w:hint="eastAsia"/>
          <w:lang w:eastAsia="zh-CN"/>
        </w:rPr>
        <w:t>②项目</w:t>
      </w:r>
      <w:r>
        <w:rPr>
          <w:rFonts w:hint="eastAsia"/>
          <w:highlight w:val="none"/>
          <w:lang w:eastAsia="zh-CN"/>
        </w:rPr>
        <w:t>支出手续完备；</w:t>
      </w:r>
    </w:p>
    <w:p>
      <w:pPr>
        <w:bidi w:val="0"/>
        <w:rPr>
          <w:rFonts w:hint="eastAsia"/>
          <w:color w:val="000000" w:themeColor="text1"/>
          <w:lang w:eastAsia="zh-CN"/>
          <w14:textFill>
            <w14:solidFill>
              <w14:schemeClr w14:val="tx1"/>
            </w14:solidFill>
          </w14:textFill>
        </w:rPr>
      </w:pPr>
      <w:r>
        <w:rPr>
          <w:rFonts w:hint="eastAsia"/>
          <w:lang w:eastAsia="zh-CN"/>
        </w:rPr>
        <w:t>③项目合同书、验</w:t>
      </w:r>
      <w:r>
        <w:rPr>
          <w:rFonts w:hint="eastAsia"/>
          <w:color w:val="000000" w:themeColor="text1"/>
          <w:lang w:eastAsia="zh-CN"/>
          <w14:textFill>
            <w14:solidFill>
              <w14:schemeClr w14:val="tx1"/>
            </w14:solidFill>
          </w14:textFill>
        </w:rPr>
        <w:t>收报告等资料齐全并及时归档；</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④项目实施的</w:t>
      </w:r>
      <w:r>
        <w:rPr>
          <w:rFonts w:hint="eastAsia"/>
          <w:color w:val="000000" w:themeColor="text1"/>
          <w:lang w:val="en-US" w:eastAsia="zh-CN"/>
          <w14:textFill>
            <w14:solidFill>
              <w14:schemeClr w14:val="tx1"/>
            </w14:solidFill>
          </w14:textFill>
        </w:rPr>
        <w:t>经办人为张思璇，</w:t>
      </w:r>
      <w:r>
        <w:rPr>
          <w:rFonts w:hint="eastAsia"/>
          <w:color w:val="000000" w:themeColor="text1"/>
          <w:highlight w:val="none"/>
          <w:lang w:eastAsia="zh-CN"/>
          <w14:textFill>
            <w14:solidFill>
              <w14:schemeClr w14:val="tx1"/>
            </w14:solidFill>
          </w14:textFill>
        </w:rPr>
        <w:t>场地</w:t>
      </w:r>
      <w:r>
        <w:rPr>
          <w:rFonts w:hint="eastAsia"/>
          <w:color w:val="000000" w:themeColor="text1"/>
          <w:highlight w:val="none"/>
          <w:lang w:val="en-US" w:eastAsia="zh-CN"/>
          <w14:textFill>
            <w14:solidFill>
              <w14:schemeClr w14:val="tx1"/>
            </w14:solidFill>
          </w14:textFill>
        </w:rPr>
        <w:t>为青少年活动中心已</w:t>
      </w:r>
      <w:r>
        <w:rPr>
          <w:rFonts w:hint="eastAsia"/>
          <w:color w:val="000000" w:themeColor="text1"/>
          <w:lang w:eastAsia="zh-CN"/>
          <w14:textFill>
            <w14:solidFill>
              <w14:schemeClr w14:val="tx1"/>
            </w14:solidFill>
          </w14:textFill>
        </w:rPr>
        <w:t>落实到位。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28.8</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w:t>
      </w:r>
      <w:r>
        <w:rPr>
          <w:rFonts w:hint="eastAsia" w:ascii="宋体" w:hAnsi="宋体" w:eastAsia="宋体" w:cs="宋体"/>
          <w:color w:val="auto"/>
          <w:kern w:val="2"/>
          <w:highlight w:val="none"/>
          <w:u w:color="000000"/>
          <w:shd w:val="clear" w:color="auto" w:fill="auto"/>
          <w:lang w:val="zh-TW" w:eastAsia="zh-TW"/>
        </w:rPr>
        <w:t>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2"/>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办公设备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设备验收合格率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政府采购覆盖率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设备采购完成时间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2022年</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7</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办公设备采购成本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0.8万元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4.8</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28.8</w:t>
            </w:r>
          </w:p>
        </w:tc>
      </w:tr>
    </w:tbl>
    <w:p>
      <w:pPr>
        <w:numPr>
          <w:ilvl w:val="0"/>
          <w:numId w:val="5"/>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项目完成数量 </w:t>
      </w:r>
    </w:p>
    <w:p>
      <w:pPr>
        <w:numPr>
          <w:ilvl w:val="0"/>
          <w:numId w:val="0"/>
        </w:numPr>
        <w:bidi w:val="0"/>
        <w:ind w:firstLine="560" w:firstLineChars="200"/>
        <w:rPr>
          <w:rFonts w:hint="eastAsia"/>
          <w:color w:val="000000" w:themeColor="text1"/>
          <w:sz w:val="28"/>
          <w:szCs w:val="28"/>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办公设备</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≧11个</w:t>
      </w:r>
      <w:r>
        <w:rPr>
          <w:rFonts w:hint="eastAsia"/>
          <w:color w:val="000000" w:themeColor="text1"/>
          <w:sz w:val="28"/>
          <w:szCs w:val="28"/>
          <w:lang w:val="en-US" w:eastAsia="zh-CN"/>
          <w14:textFill>
            <w14:solidFill>
              <w14:schemeClr w14:val="tx1"/>
            </w14:solidFill>
          </w14:textFill>
        </w:rPr>
        <w:t>，实际完成为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11个</w:t>
      </w:r>
      <w:r>
        <w:rPr>
          <w:rFonts w:hint="eastAsia"/>
          <w:color w:val="000000" w:themeColor="text1"/>
          <w:sz w:val="28"/>
          <w:szCs w:val="28"/>
          <w:lang w:val="en-US" w:eastAsia="zh-CN"/>
          <w14:textFill>
            <w14:solidFill>
              <w14:schemeClr w14:val="tx1"/>
            </w14:solidFill>
          </w14:textFill>
        </w:rPr>
        <w:t>。</w:t>
      </w:r>
    </w:p>
    <w:p>
      <w:pPr>
        <w:bidi w:val="0"/>
        <w:rPr>
          <w:rFonts w:hint="eastAsia"/>
          <w:color w:val="000000" w:themeColor="text1"/>
          <w:sz w:val="28"/>
          <w:szCs w:val="28"/>
          <w:lang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综上，该项指标满分6分，得分6分。</w:t>
      </w:r>
    </w:p>
    <w:p>
      <w:pPr>
        <w:numPr>
          <w:ilvl w:val="0"/>
          <w:numId w:val="5"/>
        </w:numPr>
        <w:bidi w:val="0"/>
        <w:ind w:left="0" w:leftChars="0" w:firstLine="562" w:firstLineChars="200"/>
        <w:rPr>
          <w:rFonts w:hint="eastAsia"/>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项目完成质量</w:t>
      </w:r>
    </w:p>
    <w:p>
      <w:pPr>
        <w:numPr>
          <w:ilvl w:val="0"/>
          <w:numId w:val="0"/>
        </w:numPr>
        <w:bidi w:val="0"/>
        <w:ind w:leftChars="200"/>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设备验收合格率</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=100%</w:t>
      </w:r>
      <w:r>
        <w:rPr>
          <w:rFonts w:hint="eastAsia"/>
          <w:color w:val="000000" w:themeColor="text1"/>
          <w:sz w:val="28"/>
          <w:szCs w:val="28"/>
          <w:lang w:val="en-US" w:eastAsia="zh-CN"/>
          <w14:textFill>
            <w14:solidFill>
              <w14:schemeClr w14:val="tx1"/>
            </w14:solidFill>
          </w14:textFill>
        </w:rPr>
        <w:t>，实际完成为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100%</w:t>
      </w:r>
      <w:r>
        <w:rPr>
          <w:rFonts w:hint="eastAsia"/>
          <w:color w:val="000000" w:themeColor="text1"/>
          <w:sz w:val="28"/>
          <w:szCs w:val="28"/>
          <w:lang w:val="en-US" w:eastAsia="zh-CN"/>
          <w14:textFill>
            <w14:solidFill>
              <w14:schemeClr w14:val="tx1"/>
            </w14:solidFill>
          </w14:textFill>
        </w:rPr>
        <w:t>。</w:t>
      </w:r>
    </w:p>
    <w:p>
      <w:pPr>
        <w:bidi w:val="0"/>
        <w:ind w:left="0" w:leftChars="0" w:firstLine="560" w:firstLineChars="200"/>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政府采购覆盖率</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=100%</w:t>
      </w:r>
      <w:r>
        <w:rPr>
          <w:rFonts w:hint="eastAsia"/>
          <w:color w:val="000000" w:themeColor="text1"/>
          <w:sz w:val="28"/>
          <w:szCs w:val="28"/>
          <w:lang w:val="en-US" w:eastAsia="zh-CN"/>
          <w14:textFill>
            <w14:solidFill>
              <w14:schemeClr w14:val="tx1"/>
            </w14:solidFill>
          </w14:textFill>
        </w:rPr>
        <w:t>，实际完成为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100%</w:t>
      </w:r>
      <w:r>
        <w:rPr>
          <w:rFonts w:hint="eastAsia"/>
          <w:color w:val="000000" w:themeColor="text1"/>
          <w:sz w:val="28"/>
          <w:szCs w:val="28"/>
          <w:lang w:val="en-US" w:eastAsia="zh-CN"/>
          <w14:textFill>
            <w14:solidFill>
              <w14:schemeClr w14:val="tx1"/>
            </w14:solidFill>
          </w14:textFill>
        </w:rPr>
        <w:t>。</w:t>
      </w:r>
    </w:p>
    <w:p>
      <w:pPr>
        <w:bidi w:val="0"/>
        <w:rPr>
          <w:rFonts w:hint="eastAsia"/>
          <w:color w:val="000000" w:themeColor="text1"/>
          <w:sz w:val="28"/>
          <w:szCs w:val="28"/>
          <w:lang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综上，该项指标满分12分，得分12分。</w:t>
      </w:r>
    </w:p>
    <w:p>
      <w:pPr>
        <w:numPr>
          <w:ilvl w:val="0"/>
          <w:numId w:val="5"/>
        </w:numPr>
        <w:bidi w:val="0"/>
        <w:ind w:left="0" w:leftChars="0" w:firstLine="562" w:firstLineChars="200"/>
        <w:rPr>
          <w:rFonts w:hint="eastAsia"/>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项目完成时效</w:t>
      </w:r>
    </w:p>
    <w:p>
      <w:pPr>
        <w:numPr>
          <w:ilvl w:val="0"/>
          <w:numId w:val="0"/>
        </w:numPr>
        <w:bidi w:val="0"/>
        <w:ind w:leftChars="200"/>
        <w:rPr>
          <w:rFonts w:hint="eastAsia"/>
          <w:sz w:val="28"/>
          <w:szCs w:val="28"/>
          <w:lang w:eastAsia="zh-CN"/>
        </w:rPr>
      </w:pPr>
      <w:r>
        <w:rPr>
          <w:rFonts w:hint="eastAsia"/>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设备采购完成时间</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≤2022年12月</w:t>
      </w:r>
      <w:r>
        <w:rPr>
          <w:rFonts w:hint="eastAsia"/>
          <w:color w:val="000000" w:themeColor="text1"/>
          <w:sz w:val="28"/>
          <w:szCs w:val="28"/>
          <w:lang w:val="en-US" w:eastAsia="zh-CN"/>
          <w14:textFill>
            <w14:solidFill>
              <w14:schemeClr w14:val="tx1"/>
            </w14:solidFill>
          </w14:textFill>
        </w:rPr>
        <w:t>，实际完成为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2022年</w:t>
      </w:r>
      <w:r>
        <w:rPr>
          <w:rFonts w:hint="eastAsia" w:cs="宋体"/>
          <w:color w:val="000000" w:themeColor="text1"/>
          <w:kern w:val="0"/>
          <w:sz w:val="28"/>
          <w:szCs w:val="28"/>
          <w:highlight w:val="none"/>
          <w:shd w:val="clear" w:color="auto" w:fill="auto"/>
          <w:lang w:val="en-US" w:eastAsia="zh-CN"/>
          <w14:textFill>
            <w14:solidFill>
              <w14:schemeClr w14:val="tx1"/>
            </w14:solidFill>
          </w14:textFill>
        </w:rPr>
        <w:t>7</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月</w:t>
      </w:r>
      <w:r>
        <w:rPr>
          <w:rFonts w:hint="eastAsia"/>
          <w:sz w:val="28"/>
          <w:szCs w:val="28"/>
          <w:lang w:val="en-US" w:eastAsia="zh-CN"/>
        </w:rPr>
        <w:t>。</w:t>
      </w:r>
    </w:p>
    <w:p>
      <w:pPr>
        <w:bidi w:val="0"/>
        <w:rPr>
          <w:rFonts w:hint="eastAsia"/>
          <w:color w:val="000000" w:themeColor="text1"/>
          <w:sz w:val="28"/>
          <w:szCs w:val="28"/>
          <w:lang w:eastAsia="zh-CN"/>
          <w14:textFill>
            <w14:solidFill>
              <w14:schemeClr w14:val="tx1"/>
            </w14:solidFill>
          </w14:textFill>
        </w:rPr>
      </w:pPr>
      <w:r>
        <w:rPr>
          <w:rFonts w:hint="eastAsia"/>
          <w:b/>
          <w:bCs/>
          <w:sz w:val="28"/>
          <w:szCs w:val="28"/>
          <w:lang w:val="en-US" w:eastAsia="zh-CN"/>
        </w:rPr>
        <w:t>综上，该项</w:t>
      </w:r>
      <w:r>
        <w:rPr>
          <w:rFonts w:hint="eastAsia"/>
          <w:b/>
          <w:bCs/>
          <w:color w:val="000000" w:themeColor="text1"/>
          <w:sz w:val="28"/>
          <w:szCs w:val="28"/>
          <w:lang w:val="en-US" w:eastAsia="zh-CN"/>
          <w14:textFill>
            <w14:solidFill>
              <w14:schemeClr w14:val="tx1"/>
            </w14:solidFill>
          </w14:textFill>
        </w:rPr>
        <w:t>指标满分6分，得分6分。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4.项目完成成本</w:t>
      </w:r>
    </w:p>
    <w:p>
      <w:pPr>
        <w:ind w:firstLine="56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办公设备采购成本</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指</w:t>
      </w:r>
      <w:r>
        <w:rPr>
          <w:rFonts w:hint="eastAsia"/>
          <w:color w:val="000000" w:themeColor="text1"/>
          <w:lang w:val="en-US" w:eastAsia="zh-CN"/>
          <w14:textFill>
            <w14:solidFill>
              <w14:schemeClr w14:val="tx1"/>
            </w14:solidFill>
          </w14:textFill>
        </w:rPr>
        <w:t>标，预期指标值为</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≤1万元</w:t>
      </w:r>
      <w:r>
        <w:rPr>
          <w:rFonts w:hint="eastAsia"/>
          <w:color w:val="000000" w:themeColor="text1"/>
          <w:lang w:val="en-US" w:eastAsia="zh-CN"/>
          <w14:textFill>
            <w14:solidFill>
              <w14:schemeClr w14:val="tx1"/>
            </w14:solidFill>
          </w14:textFill>
        </w:rPr>
        <w:t>，实际完成为0.8万元。实际完成率=（0.8/1）×100%=80%。</w:t>
      </w:r>
      <w:r>
        <w:rPr>
          <w:rFonts w:hint="eastAsia"/>
          <w:b w:val="0"/>
          <w:bCs w:val="0"/>
          <w:color w:val="000000" w:themeColor="text1"/>
          <w:sz w:val="28"/>
          <w:szCs w:val="36"/>
          <w:lang w:val="en-US" w:eastAsia="zh-CN"/>
          <w14:textFill>
            <w14:solidFill>
              <w14:schemeClr w14:val="tx1"/>
            </w14:solidFill>
          </w14:textFill>
        </w:rPr>
        <w:t>存在偏差的主要原因：</w:t>
      </w:r>
      <w:r>
        <w:rPr>
          <w:rFonts w:hint="eastAsia"/>
          <w:b w:val="0"/>
          <w:bCs w:val="0"/>
          <w:color w:val="000000" w:themeColor="text1"/>
          <w:sz w:val="28"/>
          <w:szCs w:val="36"/>
          <w:highlight w:val="none"/>
          <w:lang w:val="en-US" w:eastAsia="zh-CN"/>
          <w14:textFill>
            <w14:solidFill>
              <w14:schemeClr w14:val="tx1"/>
            </w14:solidFill>
          </w14:textFill>
        </w:rPr>
        <w:t>受疫情影响，导致年底支付手续办理滞后，剩余资金已上缴国库。</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综上，该项指标满分6分，得分4.8分。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cs="宋体"/>
          <w:b/>
          <w:bCs/>
          <w:color w:val="FF0000"/>
          <w:kern w:val="0"/>
          <w:sz w:val="28"/>
          <w:szCs w:val="28"/>
          <w:highlight w:val="none"/>
          <w:shd w:val="clear" w:color="auto" w:fill="auto"/>
          <w:lang w:val="zh-TW" w:eastAsia="zh-CN"/>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效益</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w:t>
      </w:r>
      <w:r>
        <w:rPr>
          <w:rFonts w:hint="eastAsia" w:ascii="宋体" w:hAnsi="宋体" w:eastAsia="宋体" w:cs="宋体"/>
          <w:color w:val="auto"/>
          <w:kern w:val="2"/>
          <w:highlight w:val="none"/>
          <w:u w:color="000000"/>
          <w:shd w:val="clear" w:color="auto" w:fill="auto"/>
          <w:lang w:val="zh-TW" w:eastAsia="zh-TW"/>
        </w:rPr>
        <w:t>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p>
      <w:pPr>
        <w:pageBreakBefore w:val="0"/>
        <w:widowControl w:val="0"/>
        <w:kinsoku/>
        <w:wordWrap/>
        <w:overflowPunct/>
        <w:topLinePunct w:val="0"/>
        <w:autoSpaceDE/>
        <w:autoSpaceDN/>
        <w:bidi w:val="0"/>
        <w:adjustRightInd/>
        <w:spacing w:line="360" w:lineRule="auto"/>
        <w:ind w:firstLine="560"/>
        <w:jc w:val="both"/>
        <w:textAlignment w:val="auto"/>
        <w:rPr>
          <w:rFonts w:hint="default" w:ascii="宋体" w:hAnsi="宋体" w:eastAsia="宋体" w:cs="宋体"/>
          <w:color w:val="auto"/>
          <w:kern w:val="2"/>
          <w:highlight w:val="none"/>
          <w:u w:color="000000"/>
          <w:shd w:val="clear" w:color="auto" w:fill="auto"/>
          <w:lang w:val="en-US" w:eastAsia="zh-TW"/>
        </w:rPr>
      </w:pPr>
    </w:p>
    <w:tbl>
      <w:tblPr>
        <w:tblStyle w:val="12"/>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设备利用率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12</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保障活动中心各项工作平稳进行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保障</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使用人员满意度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numPr>
          <w:ilvl w:val="0"/>
          <w:numId w:val="0"/>
        </w:numPr>
        <w:bidi w:val="0"/>
        <w:ind w:left="280" w:leftChars="0" w:firstLine="281" w:firstLineChars="1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1.经济效益指标</w:t>
      </w:r>
    </w:p>
    <w:p>
      <w:pPr>
        <w:numPr>
          <w:ilvl w:val="0"/>
          <w:numId w:val="0"/>
        </w:numPr>
        <w:bidi w:val="0"/>
        <w:ind w:firstLine="280" w:firstLineChars="100"/>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设备利用率</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sz w:val="28"/>
          <w:szCs w:val="28"/>
          <w:highlight w:val="none"/>
          <w:lang w:val="en-US" w:eastAsia="zh-CN"/>
          <w14:textFill>
            <w14:solidFill>
              <w14:schemeClr w14:val="tx1"/>
            </w14:solidFill>
          </w14:textFill>
        </w:rPr>
        <w:t>，实际完成为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sz w:val="28"/>
          <w:szCs w:val="28"/>
          <w:highlight w:val="none"/>
          <w:lang w:val="en-US" w:eastAsia="zh-CN"/>
          <w14:textFill>
            <w14:solidFill>
              <w14:schemeClr w14:val="tx1"/>
            </w14:solidFill>
          </w14:textFill>
        </w:rPr>
        <w:t>。</w:t>
      </w:r>
    </w:p>
    <w:p>
      <w:pPr>
        <w:ind w:firstLine="560"/>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通过项目的实施，中心办公设备更加完善</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pPr>
        <w:bidi w:val="0"/>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综上，该项指标满分12分，得分12分。</w:t>
      </w:r>
    </w:p>
    <w:p>
      <w:pPr>
        <w:bidi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2.社会效益指标</w:t>
      </w:r>
    </w:p>
    <w:p>
      <w:pPr>
        <w:ind w:firstLine="560"/>
        <w:rPr>
          <w:rFonts w:hint="eastAsia" w:ascii="宋体" w:hAnsi="宋体" w:eastAsia="宋体" w:cs="宋体"/>
          <w:b/>
          <w:bCs/>
          <w:color w:val="auto"/>
          <w:sz w:val="28"/>
          <w:szCs w:val="28"/>
          <w:highlight w:val="none"/>
        </w:rPr>
      </w:pPr>
      <w:r>
        <w:rPr>
          <w:rFonts w:hint="eastAsia" w:ascii="宋体" w:hAnsi="宋体" w:eastAsia="宋体" w:cs="宋体"/>
          <w:b w:val="0"/>
          <w:bCs w:val="0"/>
          <w:color w:val="auto"/>
          <w:sz w:val="28"/>
          <w:szCs w:val="28"/>
          <w:highlight w:val="none"/>
        </w:rPr>
        <w:t>无</w:t>
      </w:r>
      <w:r>
        <w:rPr>
          <w:rFonts w:hint="eastAsia" w:ascii="宋体" w:hAnsi="宋体" w:eastAsia="宋体" w:cs="宋体"/>
          <w:b w:val="0"/>
          <w:bCs w:val="0"/>
          <w:color w:val="auto"/>
          <w:sz w:val="28"/>
          <w:szCs w:val="28"/>
          <w:highlight w:val="none"/>
          <w:lang w:val="en-US" w:eastAsia="zh-CN"/>
        </w:rPr>
        <w:t>社会效益</w:t>
      </w:r>
      <w:r>
        <w:rPr>
          <w:rFonts w:hint="eastAsia" w:ascii="宋体" w:hAnsi="宋体" w:eastAsia="宋体" w:cs="宋体"/>
          <w:b w:val="0"/>
          <w:bCs w:val="0"/>
          <w:color w:val="auto"/>
          <w:sz w:val="28"/>
          <w:szCs w:val="28"/>
          <w:highlight w:val="none"/>
        </w:rPr>
        <w:t>指标</w:t>
      </w:r>
      <w:r>
        <w:rPr>
          <w:rFonts w:hint="eastAsia" w:ascii="宋体" w:hAnsi="宋体" w:eastAsia="宋体" w:cs="宋体"/>
          <w:color w:val="auto"/>
          <w:sz w:val="28"/>
          <w:szCs w:val="28"/>
          <w:highlight w:val="none"/>
        </w:rPr>
        <w:t>。</w:t>
      </w:r>
    </w:p>
    <w:p>
      <w:pPr>
        <w:bidi w:val="0"/>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3.生态效益指标</w:t>
      </w:r>
    </w:p>
    <w:p>
      <w:pPr>
        <w:ind w:firstLine="560"/>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无</w:t>
      </w:r>
      <w:r>
        <w:rPr>
          <w:rFonts w:hint="eastAsia" w:ascii="宋体" w:hAnsi="宋体" w:eastAsia="宋体" w:cs="宋体"/>
          <w:b w:val="0"/>
          <w:bCs w:val="0"/>
          <w:color w:val="auto"/>
          <w:sz w:val="28"/>
          <w:szCs w:val="28"/>
          <w:highlight w:val="none"/>
          <w:lang w:val="en-US" w:eastAsia="zh-CN"/>
        </w:rPr>
        <w:t>生态效益</w:t>
      </w:r>
      <w:r>
        <w:rPr>
          <w:rFonts w:hint="eastAsia" w:ascii="宋体" w:hAnsi="宋体" w:eastAsia="宋体" w:cs="宋体"/>
          <w:b w:val="0"/>
          <w:bCs w:val="0"/>
          <w:color w:val="auto"/>
          <w:sz w:val="28"/>
          <w:szCs w:val="28"/>
          <w:highlight w:val="none"/>
        </w:rPr>
        <w:t>指标。</w:t>
      </w:r>
    </w:p>
    <w:p>
      <w:pPr>
        <w:numPr>
          <w:ilvl w:val="0"/>
          <w:numId w:val="0"/>
        </w:numPr>
        <w:bidi w:val="0"/>
        <w:ind w:leftChars="200"/>
        <w:rPr>
          <w:rFonts w:hint="eastAsia" w:ascii="宋体" w:hAnsi="宋体" w:eastAsia="宋体" w:cs="宋体"/>
          <w:b/>
          <w:bCs/>
          <w:color w:val="auto"/>
          <w:sz w:val="28"/>
          <w:szCs w:val="28"/>
          <w:highlight w:val="none"/>
          <w:lang w:val="en-US" w:eastAsia="zh-CN"/>
        </w:rPr>
      </w:pPr>
      <w:r>
        <w:rPr>
          <w:rFonts w:hint="eastAsia" w:cs="宋体"/>
          <w:b/>
          <w:bCs/>
          <w:color w:val="auto"/>
          <w:sz w:val="28"/>
          <w:szCs w:val="28"/>
          <w:highlight w:val="none"/>
          <w:lang w:val="en-US" w:eastAsia="zh-CN"/>
        </w:rPr>
        <w:t>4.</w:t>
      </w:r>
      <w:r>
        <w:rPr>
          <w:rFonts w:hint="eastAsia" w:ascii="宋体" w:hAnsi="宋体" w:eastAsia="宋体" w:cs="宋体"/>
          <w:b/>
          <w:bCs/>
          <w:color w:val="auto"/>
          <w:sz w:val="28"/>
          <w:szCs w:val="28"/>
          <w:highlight w:val="none"/>
          <w:lang w:val="en-US" w:eastAsia="zh-CN"/>
        </w:rPr>
        <w:t>可持续影响指标</w:t>
      </w:r>
    </w:p>
    <w:p>
      <w:pPr>
        <w:numPr>
          <w:ilvl w:val="0"/>
          <w:numId w:val="0"/>
        </w:numPr>
        <w:bidi w:val="0"/>
        <w:ind w:firstLine="280" w:firstLineChars="1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kern w:val="0"/>
          <w:sz w:val="28"/>
          <w:szCs w:val="28"/>
          <w:highlight w:val="none"/>
          <w:shd w:val="clear" w:color="auto" w:fill="auto"/>
          <w:lang w:val="en-US" w:eastAsia="zh-CN"/>
        </w:rPr>
        <w:t>保障活动中心各项工作平稳进行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保障</w:t>
      </w:r>
      <w:r>
        <w:rPr>
          <w:rFonts w:hint="eastAsia" w:ascii="宋体" w:hAnsi="宋体" w:eastAsia="宋体" w:cs="宋体"/>
          <w:color w:val="auto"/>
          <w:sz w:val="28"/>
          <w:szCs w:val="28"/>
          <w:highlight w:val="none"/>
          <w:lang w:val="en-US" w:eastAsia="zh-CN"/>
        </w:rPr>
        <w:t>，实际完成为</w:t>
      </w:r>
      <w:r>
        <w:rPr>
          <w:rFonts w:hint="eastAsia" w:ascii="宋体" w:hAnsi="宋体" w:eastAsia="宋体" w:cs="宋体"/>
          <w:color w:val="auto"/>
          <w:kern w:val="0"/>
          <w:sz w:val="28"/>
          <w:szCs w:val="28"/>
          <w:highlight w:val="none"/>
          <w:shd w:val="clear" w:color="auto" w:fill="auto"/>
          <w:lang w:val="en-US" w:eastAsia="zh-CN"/>
        </w:rPr>
        <w:t>保障</w:t>
      </w:r>
      <w:r>
        <w:rPr>
          <w:rFonts w:hint="eastAsia" w:ascii="宋体" w:hAnsi="宋体" w:eastAsia="宋体" w:cs="宋体"/>
          <w:color w:val="auto"/>
          <w:sz w:val="28"/>
          <w:szCs w:val="28"/>
          <w:highlight w:val="none"/>
          <w:lang w:val="en-US" w:eastAsia="zh-CN"/>
        </w:rPr>
        <w:t>。</w:t>
      </w:r>
    </w:p>
    <w:p>
      <w:pPr>
        <w:ind w:firstLine="560"/>
        <w:rPr>
          <w:rFonts w:hint="eastAsia"/>
          <w:lang w:val="en-US" w:eastAsia="zh-CN"/>
        </w:rPr>
      </w:pPr>
      <w:r>
        <w:rPr>
          <w:rFonts w:hint="eastAsia" w:ascii="宋体" w:hAnsi="宋体" w:eastAsia="宋体" w:cs="宋体"/>
          <w:b w:val="0"/>
          <w:bCs w:val="0"/>
          <w:color w:val="auto"/>
          <w:sz w:val="28"/>
          <w:szCs w:val="28"/>
          <w:highlight w:val="none"/>
          <w:lang w:val="en-US" w:eastAsia="zh-CN"/>
        </w:rPr>
        <w:t>通过项目的实施，中心办公</w:t>
      </w:r>
      <w:r>
        <w:rPr>
          <w:rFonts w:hint="eastAsia" w:ascii="宋体" w:hAnsi="宋体" w:eastAsia="宋体" w:cs="宋体"/>
          <w:color w:val="auto"/>
          <w:sz w:val="28"/>
          <w:szCs w:val="28"/>
          <w:highlight w:val="none"/>
        </w:rPr>
        <w:t>环境和条件得到进一步改善</w:t>
      </w:r>
      <w:r>
        <w:rPr>
          <w:rFonts w:hint="eastAsia" w:cs="宋体"/>
          <w:color w:val="auto"/>
          <w:sz w:val="28"/>
          <w:szCs w:val="28"/>
          <w:highlight w:val="none"/>
          <w:lang w:eastAsia="zh-CN"/>
        </w:rPr>
        <w:t>，</w:t>
      </w:r>
      <w:r>
        <w:rPr>
          <w:rFonts w:hint="eastAsia" w:cs="宋体"/>
          <w:b w:val="0"/>
          <w:bCs w:val="0"/>
          <w:color w:val="auto"/>
          <w:sz w:val="28"/>
          <w:szCs w:val="28"/>
          <w:highlight w:val="none"/>
          <w:lang w:val="en-US" w:eastAsia="zh-CN"/>
        </w:rPr>
        <w:t>保障了中心各项工作的平稳进行</w:t>
      </w:r>
      <w:r>
        <w:rPr>
          <w:rFonts w:hint="eastAsia" w:ascii="宋体" w:hAnsi="宋体" w:eastAsia="宋体" w:cs="宋体"/>
          <w:color w:val="auto"/>
          <w:sz w:val="28"/>
          <w:szCs w:val="28"/>
          <w:highlight w:val="none"/>
          <w:lang w:eastAsia="zh-CN"/>
        </w:rPr>
        <w:t>。</w:t>
      </w:r>
    </w:p>
    <w:p>
      <w:pPr>
        <w:ind w:firstLine="562"/>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rPr>
        <w:t>综上，该项指标满分</w:t>
      </w:r>
      <w:r>
        <w:rPr>
          <w:rFonts w:hint="eastAsia" w:ascii="宋体" w:hAnsi="宋体" w:eastAsia="宋体" w:cs="宋体"/>
          <w:b/>
          <w:bCs/>
          <w:color w:val="auto"/>
          <w:sz w:val="28"/>
          <w:szCs w:val="28"/>
          <w:highlight w:val="none"/>
          <w:lang w:val="en-US" w:eastAsia="zh-CN"/>
        </w:rPr>
        <w:t>8</w:t>
      </w:r>
      <w:r>
        <w:rPr>
          <w:rFonts w:hint="eastAsia" w:ascii="宋体" w:hAnsi="宋体" w:eastAsia="宋体" w:cs="宋体"/>
          <w:b/>
          <w:bCs/>
          <w:color w:val="auto"/>
          <w:sz w:val="28"/>
          <w:szCs w:val="28"/>
          <w:highlight w:val="none"/>
        </w:rPr>
        <w:t>分，得分</w:t>
      </w:r>
      <w:r>
        <w:rPr>
          <w:rFonts w:hint="eastAsia" w:ascii="宋体" w:hAnsi="宋体" w:eastAsia="宋体" w:cs="宋体"/>
          <w:b/>
          <w:bCs/>
          <w:color w:val="auto"/>
          <w:sz w:val="28"/>
          <w:szCs w:val="28"/>
          <w:highlight w:val="none"/>
          <w:lang w:val="en-US" w:eastAsia="zh-CN"/>
        </w:rPr>
        <w:t>8</w:t>
      </w:r>
      <w:r>
        <w:rPr>
          <w:rFonts w:hint="eastAsia" w:ascii="宋体" w:hAnsi="宋体" w:eastAsia="宋体" w:cs="宋体"/>
          <w:b/>
          <w:bCs/>
          <w:color w:val="auto"/>
          <w:sz w:val="28"/>
          <w:szCs w:val="28"/>
          <w:highlight w:val="none"/>
        </w:rPr>
        <w:t>分。</w:t>
      </w:r>
    </w:p>
    <w:p>
      <w:pPr>
        <w:numPr>
          <w:ilvl w:val="0"/>
          <w:numId w:val="0"/>
        </w:numPr>
        <w:bidi w:val="0"/>
        <w:ind w:left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5.满意度指标</w:t>
      </w:r>
    </w:p>
    <w:p>
      <w:pPr>
        <w:bidi w:val="0"/>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kern w:val="0"/>
          <w:sz w:val="28"/>
          <w:szCs w:val="28"/>
          <w:highlight w:val="none"/>
          <w:shd w:val="clear" w:color="auto" w:fill="auto"/>
          <w:lang w:val="en-US" w:eastAsia="zh-CN"/>
        </w:rPr>
        <w:t>使用人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员满意度</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指标，预期指标值为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sz w:val="28"/>
          <w:szCs w:val="28"/>
          <w:highlight w:val="none"/>
          <w:lang w:val="en-US" w:eastAsia="zh-CN"/>
          <w14:textFill>
            <w14:solidFill>
              <w14:schemeClr w14:val="tx1"/>
            </w14:solidFill>
          </w14:textFill>
        </w:rPr>
        <w:t>，实际完</w:t>
      </w:r>
      <w:r>
        <w:rPr>
          <w:rFonts w:hint="eastAsia" w:ascii="宋体" w:hAnsi="宋体" w:eastAsia="宋体" w:cs="宋体"/>
          <w:color w:val="000000" w:themeColor="text1"/>
          <w:sz w:val="28"/>
          <w:szCs w:val="28"/>
          <w:lang w:val="en-US" w:eastAsia="zh-CN"/>
          <w14:textFill>
            <w14:solidFill>
              <w14:schemeClr w14:val="tx1"/>
            </w14:solidFill>
          </w14:textFill>
        </w:rPr>
        <w:t>成为</w:t>
      </w:r>
      <w:r>
        <w:rPr>
          <w:rFonts w:hint="eastAsia" w:ascii="宋体" w:hAnsi="宋体" w:eastAsia="宋体" w:cs="宋体"/>
          <w:color w:val="000000" w:themeColor="text1"/>
          <w:kern w:val="0"/>
          <w:sz w:val="28"/>
          <w:szCs w:val="28"/>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sz w:val="28"/>
          <w:szCs w:val="28"/>
          <w:lang w:val="en-US" w:eastAsia="zh-CN"/>
          <w14:textFill>
            <w14:solidFill>
              <w14:schemeClr w14:val="tx1"/>
            </w14:solidFill>
          </w14:textFill>
        </w:rPr>
        <w:t>。</w:t>
      </w:r>
    </w:p>
    <w:p>
      <w:pPr>
        <w:bidi w:val="0"/>
        <w:rPr>
          <w:rFonts w:hint="eastAsia"/>
          <w:b/>
          <w:bCs/>
          <w:lang w:val="en-US" w:eastAsia="zh-CN"/>
        </w:rPr>
      </w:pPr>
      <w:r>
        <w:rPr>
          <w:rFonts w:hint="eastAsia"/>
          <w:b/>
          <w:bCs/>
          <w:color w:val="000000" w:themeColor="text1"/>
          <w:lang w:val="en-US" w:eastAsia="zh-CN"/>
          <w14:textFill>
            <w14:solidFill>
              <w14:schemeClr w14:val="tx1"/>
            </w14:solidFill>
          </w14:textFill>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000000" w:themeColor="text1"/>
          <w:lang w:eastAsia="zh-CN"/>
          <w14:textFill>
            <w14:solidFill>
              <w14:schemeClr w14:val="tx1"/>
            </w14:solidFill>
          </w14:textFill>
        </w:rPr>
      </w:pPr>
      <w:bookmarkStart w:id="12" w:name="_Toc28290"/>
      <w:bookmarkStart w:id="13" w:name="_Toc1921"/>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主要经验及做法</w:t>
      </w:r>
    </w:p>
    <w:p>
      <w:pPr>
        <w:bidi w:val="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2022年办公设备购置项目</w:t>
      </w:r>
      <w:r>
        <w:rPr>
          <w:rFonts w:hint="eastAsia" w:asciiTheme="minorEastAsia" w:hAnsiTheme="minorEastAsia" w:eastAsiaTheme="minorEastAsia" w:cstheme="minorEastAsia"/>
          <w:b w:val="0"/>
          <w:bCs w:val="0"/>
          <w:color w:val="auto"/>
          <w:sz w:val="28"/>
          <w:szCs w:val="28"/>
          <w:lang w:eastAsia="zh-CN"/>
        </w:rPr>
        <w:t>20</w:t>
      </w:r>
      <w:r>
        <w:rPr>
          <w:rFonts w:hint="eastAsia" w:asciiTheme="minorEastAsia" w:hAnsiTheme="minorEastAsia" w:eastAsiaTheme="minorEastAsia" w:cstheme="minorEastAsia"/>
          <w:b w:val="0"/>
          <w:bCs w:val="0"/>
          <w:color w:val="auto"/>
          <w:sz w:val="28"/>
          <w:szCs w:val="28"/>
          <w:lang w:val="en-US" w:eastAsia="zh-CN"/>
        </w:rPr>
        <w:t>22</w:t>
      </w:r>
      <w:r>
        <w:rPr>
          <w:rFonts w:hint="eastAsia" w:asciiTheme="minorEastAsia" w:hAnsiTheme="minorEastAsia" w:eastAsiaTheme="minorEastAsia" w:cstheme="minorEastAsia"/>
          <w:b w:val="0"/>
          <w:bCs w:val="0"/>
          <w:color w:val="auto"/>
          <w:sz w:val="28"/>
          <w:szCs w:val="28"/>
          <w:lang w:eastAsia="zh-CN"/>
        </w:rPr>
        <w:t>年预算</w:t>
      </w:r>
      <w:r>
        <w:rPr>
          <w:rFonts w:hint="eastAsia" w:asciiTheme="minorEastAsia" w:hAnsiTheme="minorEastAsia" w:eastAsiaTheme="minorEastAsia" w:cstheme="minorEastAsia"/>
          <w:b w:val="0"/>
          <w:bCs w:val="0"/>
          <w:color w:val="auto"/>
          <w:sz w:val="28"/>
          <w:szCs w:val="28"/>
          <w:lang w:val="en-US" w:eastAsia="zh-CN"/>
        </w:rPr>
        <w:t>数</w:t>
      </w:r>
      <w:r>
        <w:rPr>
          <w:rFonts w:hint="eastAsia" w:asciiTheme="minorEastAsia" w:hAnsiTheme="minorEastAsia" w:eastAsiaTheme="minorEastAsia" w:cstheme="minorEastAsia"/>
          <w:b w:val="0"/>
          <w:bCs w:val="0"/>
          <w:color w:val="auto"/>
          <w:sz w:val="28"/>
          <w:szCs w:val="28"/>
          <w:lang w:eastAsia="zh-CN"/>
        </w:rPr>
        <w:t>为</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万元，</w:t>
      </w:r>
      <w:r>
        <w:rPr>
          <w:rFonts w:hint="eastAsia" w:asciiTheme="minorEastAsia" w:hAnsiTheme="minorEastAsia" w:eastAsiaTheme="minorEastAsia" w:cstheme="minorEastAsia"/>
          <w:b w:val="0"/>
          <w:bCs w:val="0"/>
          <w:color w:val="auto"/>
          <w:sz w:val="28"/>
          <w:szCs w:val="28"/>
          <w:lang w:val="en-US" w:eastAsia="zh-CN"/>
        </w:rPr>
        <w:t>截至2022年12月31日共</w:t>
      </w:r>
      <w:r>
        <w:rPr>
          <w:rFonts w:hint="eastAsia" w:asciiTheme="minorEastAsia" w:hAnsiTheme="minorEastAsia" w:eastAsiaTheme="minorEastAsia" w:cstheme="minorEastAsia"/>
          <w:b w:val="0"/>
          <w:bCs w:val="0"/>
          <w:color w:val="auto"/>
          <w:sz w:val="28"/>
          <w:szCs w:val="28"/>
          <w:lang w:eastAsia="zh-CN"/>
        </w:rPr>
        <w:t>支出</w:t>
      </w:r>
      <w:r>
        <w:rPr>
          <w:rFonts w:hint="eastAsia" w:asciiTheme="minorEastAsia" w:hAnsiTheme="minorEastAsia" w:eastAsiaTheme="minorEastAsia" w:cstheme="minorEastAsia"/>
          <w:b w:val="0"/>
          <w:bCs w:val="0"/>
          <w:color w:val="auto"/>
          <w:sz w:val="28"/>
          <w:szCs w:val="28"/>
          <w:lang w:val="en-US" w:eastAsia="zh-CN"/>
        </w:rPr>
        <w:t>0.8</w:t>
      </w:r>
      <w:r>
        <w:rPr>
          <w:rFonts w:hint="eastAsia" w:asciiTheme="minorEastAsia" w:hAnsiTheme="minorEastAsia" w:eastAsiaTheme="minorEastAsia" w:cstheme="minorEastAsia"/>
          <w:b w:val="0"/>
          <w:bCs w:val="0"/>
          <w:color w:val="auto"/>
          <w:sz w:val="28"/>
          <w:szCs w:val="28"/>
          <w:lang w:eastAsia="zh-CN"/>
        </w:rPr>
        <w:t>万元，预算</w:t>
      </w:r>
      <w:r>
        <w:rPr>
          <w:rFonts w:hint="eastAsia" w:asciiTheme="minorEastAsia" w:hAnsiTheme="minorEastAsia" w:eastAsiaTheme="minorEastAsia" w:cstheme="minorEastAsia"/>
          <w:b w:val="0"/>
          <w:bCs w:val="0"/>
          <w:color w:val="auto"/>
          <w:sz w:val="28"/>
          <w:szCs w:val="28"/>
          <w:lang w:val="en-US" w:eastAsia="zh-CN"/>
        </w:rPr>
        <w:t>执行</w:t>
      </w:r>
      <w:r>
        <w:rPr>
          <w:rFonts w:hint="eastAsia" w:asciiTheme="minorEastAsia" w:hAnsiTheme="minorEastAsia" w:eastAsiaTheme="minorEastAsia" w:cstheme="minorEastAsia"/>
          <w:b w:val="0"/>
          <w:bCs w:val="0"/>
          <w:color w:val="auto"/>
          <w:sz w:val="28"/>
          <w:szCs w:val="28"/>
          <w:lang w:eastAsia="zh-CN"/>
        </w:rPr>
        <w:t>率为</w:t>
      </w:r>
      <w:r>
        <w:rPr>
          <w:rFonts w:hint="eastAsia" w:asciiTheme="minorEastAsia" w:hAnsiTheme="minorEastAsia" w:eastAsiaTheme="minorEastAsia" w:cstheme="minorEastAsia"/>
          <w:b w:val="0"/>
          <w:bCs w:val="0"/>
          <w:color w:val="auto"/>
          <w:sz w:val="28"/>
          <w:szCs w:val="28"/>
          <w:lang w:val="en-US" w:eastAsia="zh-CN"/>
        </w:rPr>
        <w:t>80</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预算执行率与总体完成率之间的偏差为20%，存在</w:t>
      </w:r>
      <w:r>
        <w:rPr>
          <w:rFonts w:hint="eastAsia" w:asciiTheme="minorEastAsia" w:hAnsiTheme="minorEastAsia" w:eastAsiaTheme="minorEastAsia" w:cstheme="minorEastAsia"/>
          <w:b w:val="0"/>
          <w:bCs w:val="0"/>
          <w:color w:val="auto"/>
          <w:sz w:val="28"/>
          <w:szCs w:val="28"/>
        </w:rPr>
        <w:t>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存在偏差情况的原因是：</w:t>
      </w:r>
    </w:p>
    <w:p>
      <w:pPr>
        <w:keepNext w:val="0"/>
        <w:keepLines w:val="0"/>
        <w:pageBreakBefore w:val="0"/>
        <w:widowControl w:val="0"/>
        <w:kinsoku/>
        <w:wordWrap/>
        <w:overflowPunct/>
        <w:topLinePunct w:val="0"/>
        <w:autoSpaceDE/>
        <w:autoSpaceDN/>
        <w:bidi w:val="0"/>
        <w:adjustRightInd w:val="0"/>
        <w:snapToGrid w:val="0"/>
        <w:ind w:left="0" w:leftChars="0" w:firstLine="560" w:firstLineChars="200"/>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val="en-US" w:eastAsia="zh-CN"/>
        </w:rPr>
        <w:t>（1）“办公设备采购成本”指标预期指标值为1万元，完成值是0.8万元。原因为:受疫情影响，导致年底支付手续办理滞后，剩余资金0.2万元已上缴国库。</w:t>
      </w:r>
    </w:p>
    <w:p>
      <w:pPr>
        <w:bidi w:val="0"/>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阜康市青少年活动中心建立健全了预算管理规章制度，各部门严格按预算编制的原则和要求做好当年预算编制工作，在预算绩效管理工作中，做到合理安排各项资金，重点保障基本支出，按轻重缓急顺序原则，优先安排了阜康市青少年活动中心事业发展中关系民生与稳定的项目，切实优化资源配置，提高了资金使用的效率和效果。</w:t>
      </w:r>
    </w:p>
    <w:bookmarkEnd w:id="12"/>
    <w:bookmarkEnd w:id="13"/>
    <w:p>
      <w:pPr>
        <w:bidi w:val="0"/>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二</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存在的问题及原因分析</w:t>
      </w:r>
    </w:p>
    <w:p>
      <w:pPr>
        <w:ind w:firstLine="560"/>
        <w:rPr>
          <w:rFonts w:hint="eastAsia" w:ascii="宋体" w:hAnsi="宋体" w:eastAsia="宋体" w:cs="宋体"/>
          <w:color w:val="auto"/>
          <w:sz w:val="28"/>
          <w:szCs w:val="28"/>
          <w:highlight w:val="yellow"/>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i w:val="0"/>
          <w:iCs w:val="0"/>
          <w:caps w:val="0"/>
          <w:color w:val="000000" w:themeColor="text1"/>
          <w:spacing w:val="0"/>
          <w:sz w:val="28"/>
          <w:szCs w:val="28"/>
          <w:shd w:val="clear" w:fill="FFFFFF"/>
          <w14:textFill>
            <w14:solidFill>
              <w14:schemeClr w14:val="tx1"/>
            </w14:solidFill>
          </w14:textFill>
        </w:rPr>
        <w:t> 预算绩效管理的观念不够深入人心。长期以来形成的以投入</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为导向的预算管理模式，使事业单位仍将预</w:t>
      </w:r>
      <w:r>
        <w:rPr>
          <w:rFonts w:hint="eastAsia" w:ascii="宋体" w:hAnsi="宋体" w:eastAsia="宋体" w:cs="宋体"/>
          <w:i w:val="0"/>
          <w:iCs w:val="0"/>
          <w:caps w:val="0"/>
          <w:color w:val="auto"/>
          <w:spacing w:val="0"/>
          <w:sz w:val="28"/>
          <w:szCs w:val="28"/>
          <w:shd w:val="clear" w:fill="FFFFFF"/>
        </w:rPr>
        <w:t>算的编制和分配情况作为重点，对支出结果关注不够。大部分领导都认为只要财政资金使用合法合规，按计划完成任务就行，至于使用效果与己责任不大，对预算绩效管理不重视。</w:t>
      </w:r>
    </w:p>
    <w:p>
      <w:pPr>
        <w:ind w:firstLine="420" w:firstLineChars="150"/>
        <w:rPr>
          <w:rFonts w:hint="eastAsia"/>
          <w:color w:val="auto"/>
          <w:highlight w:val="none"/>
        </w:rPr>
      </w:pPr>
      <w:r>
        <w:rPr>
          <w:rFonts w:hint="eastAsia" w:ascii="宋体" w:hAnsi="宋体" w:eastAsia="宋体" w:cs="宋体"/>
          <w:color w:val="auto"/>
          <w:sz w:val="28"/>
          <w:szCs w:val="28"/>
          <w:highlight w:val="none"/>
        </w:rPr>
        <w:t>2.绩效指标的明确性、可衡量性、相关性还需进一步提升</w:t>
      </w:r>
      <w:r>
        <w:rPr>
          <w:rFonts w:hint="eastAsia"/>
          <w:color w:val="auto"/>
          <w:highlight w:val="none"/>
        </w:rPr>
        <w:t>。预算精细化管理还需完善，预算编制管理水平仍有进一步提升的空间。</w:t>
      </w:r>
    </w:p>
    <w:p>
      <w:pPr>
        <w:pStyle w:val="2"/>
        <w:rPr>
          <w:rFonts w:hint="eastAsia" w:ascii="宋体" w:hAnsi="宋体" w:eastAsia="宋体" w:cs="宋体"/>
          <w:b w:val="0"/>
          <w:bCs w:val="0"/>
          <w:color w:val="auto"/>
          <w:sz w:val="28"/>
          <w:szCs w:val="28"/>
        </w:rPr>
      </w:pPr>
      <w:r>
        <w:rPr>
          <w:rFonts w:hint="eastAsia" w:ascii="宋体" w:hAnsi="宋体" w:eastAsia="宋体" w:cs="宋体"/>
          <w:b w:val="0"/>
          <w:bCs w:val="0"/>
          <w:i w:val="0"/>
          <w:iCs w:val="0"/>
          <w:caps w:val="0"/>
          <w:color w:val="auto"/>
          <w:spacing w:val="0"/>
          <w:sz w:val="28"/>
          <w:szCs w:val="28"/>
          <w:highlight w:val="none"/>
          <w:shd w:val="clear" w:fill="FFFFFF"/>
          <w:lang w:val="en-US" w:eastAsia="zh-CN"/>
        </w:rPr>
        <w:t>原因在于：预算绩效管理法律缺失，形成制度制约瓶颈。</w:t>
      </w:r>
      <w:r>
        <w:rPr>
          <w:rFonts w:hint="eastAsia" w:ascii="宋体" w:hAnsi="宋体" w:eastAsia="宋体" w:cs="宋体"/>
          <w:b w:val="0"/>
          <w:bCs w:val="0"/>
          <w:i w:val="0"/>
          <w:iCs w:val="0"/>
          <w:caps w:val="0"/>
          <w:color w:val="auto"/>
          <w:spacing w:val="0"/>
          <w:sz w:val="28"/>
          <w:szCs w:val="28"/>
          <w:highlight w:val="none"/>
          <w:shd w:val="clear" w:fill="FFFFFF"/>
        </w:rPr>
        <w:t>缺少专业的预算绩效管理队伍及信息技术</w:t>
      </w:r>
      <w:r>
        <w:rPr>
          <w:rFonts w:hint="eastAsia" w:ascii="宋体" w:hAnsi="宋体" w:eastAsia="宋体" w:cs="宋体"/>
          <w:b w:val="0"/>
          <w:bCs w:val="0"/>
          <w:i w:val="0"/>
          <w:iCs w:val="0"/>
          <w:caps w:val="0"/>
          <w:color w:val="auto"/>
          <w:spacing w:val="0"/>
          <w:sz w:val="28"/>
          <w:szCs w:val="28"/>
          <w:shd w:val="clear" w:fill="FFFFFF"/>
        </w:rPr>
        <w:t>支持，造成技术上的缺陷。预算绩效工作涉及项目业务、财务、效益等方面知识，能全面掌握这些知识的人员较少，特别是能对效益方面进行较好评价的人才更加缺乏。每个事业单位从事预算管理工作的人员一般在1-2人左右，无论是精力上还是素质方面，这些人员都无法很好地承担预算绩效管理这项综合性的工作。</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pStyle w:val="16"/>
        <w:snapToGrid w:val="0"/>
        <w:spacing w:line="540" w:lineRule="exact"/>
        <w:ind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i w:val="0"/>
          <w:iCs w:val="0"/>
          <w:caps w:val="0"/>
          <w:color w:val="auto"/>
          <w:spacing w:val="0"/>
          <w:sz w:val="28"/>
          <w:szCs w:val="28"/>
          <w:highlight w:val="none"/>
          <w:shd w:val="clear" w:fill="FFFFFF"/>
        </w:rPr>
        <w:t>加大宣传力度，树立全员绩效意识。</w:t>
      </w:r>
    </w:p>
    <w:p>
      <w:pPr>
        <w:pStyle w:val="16"/>
        <w:snapToGrid w:val="0"/>
        <w:spacing w:line="540" w:lineRule="exact"/>
        <w:ind w:firstLineChars="150"/>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 </w:t>
      </w:r>
      <w:r>
        <w:rPr>
          <w:rFonts w:hint="eastAsia" w:ascii="宋体" w:hAnsi="宋体" w:eastAsia="宋体" w:cs="宋体"/>
          <w:i w:val="0"/>
          <w:iCs w:val="0"/>
          <w:caps w:val="0"/>
          <w:color w:val="auto"/>
          <w:spacing w:val="0"/>
          <w:sz w:val="28"/>
          <w:szCs w:val="28"/>
          <w:shd w:val="clear" w:fill="FFFFFF"/>
          <w:lang w:val="en-US" w:eastAsia="zh-CN"/>
        </w:rPr>
        <w:t>2.</w:t>
      </w:r>
      <w:r>
        <w:rPr>
          <w:rFonts w:hint="eastAsia" w:ascii="宋体" w:hAnsi="宋体" w:eastAsia="宋体" w:cs="宋体"/>
          <w:i w:val="0"/>
          <w:iCs w:val="0"/>
          <w:caps w:val="0"/>
          <w:color w:val="auto"/>
          <w:spacing w:val="0"/>
          <w:sz w:val="28"/>
          <w:szCs w:val="28"/>
          <w:shd w:val="clear" w:fill="FFFFFF"/>
        </w:rPr>
        <w:t>加强绩效管理队伍建设。一方面要提高相关人员的素质修养。定期组织相关的业务培训，多渠道，多方式的加强对相关人员的职业素质培训，提供更多机会来提高他们的能力，同时鼓励相关人员主动学习，提高自身水平，逐步建立起各行业的绩效管理专家队伍。另一方面，要加强对现有相关专家及社会中介机构的培训，提供预算绩效管理相关资料，让其更快地了解和掌握预算绩效管理内容和实施规程，提高预算绩效管理理论和政策业务水平。</w:t>
      </w:r>
    </w:p>
    <w:p>
      <w:pPr>
        <w:pStyle w:val="16"/>
        <w:snapToGrid w:val="0"/>
        <w:spacing w:line="540" w:lineRule="exact"/>
        <w:ind w:firstLineChars="15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3.</w:t>
      </w:r>
      <w:r>
        <w:rPr>
          <w:rFonts w:hint="eastAsia" w:ascii="宋体" w:hAnsi="宋体" w:eastAsia="宋体" w:cs="宋体"/>
          <w:i w:val="0"/>
          <w:iCs w:val="0"/>
          <w:caps w:val="0"/>
          <w:color w:val="auto"/>
          <w:spacing w:val="0"/>
          <w:sz w:val="28"/>
          <w:szCs w:val="28"/>
          <w:shd w:val="clear" w:fill="FFFFFF"/>
        </w:rPr>
        <w:t>将绩效理念贯穿到预算管理的全过程，推进预算良性循环。</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lang w:val="en-US" w:eastAsia="zh-CN"/>
        </w:rPr>
        <w:t>七</w:t>
      </w:r>
      <w:r>
        <w:rPr>
          <w:rFonts w:hint="eastAsia" w:ascii="宋体" w:hAnsi="宋体" w:eastAsia="宋体" w:cs="宋体"/>
          <w:b/>
          <w:bCs/>
          <w:color w:val="auto"/>
          <w:sz w:val="28"/>
          <w:szCs w:val="28"/>
          <w:highlight w:val="none"/>
          <w:shd w:val="clear" w:color="auto" w:fill="auto"/>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12"/>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99"/>
        <w:gridCol w:w="802"/>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 xml:space="preserve">附件一             </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cs="宋体"/>
                <w:kern w:val="0"/>
                <w:sz w:val="22"/>
                <w:szCs w:val="22"/>
                <w:lang w:val="en-US" w:eastAsia="zh-CN"/>
              </w:rPr>
              <w:t>2022</w:t>
            </w:r>
            <w:r>
              <w:rPr>
                <w:rFonts w:hint="eastAsia" w:ascii="宋体" w:hAnsi="宋体" w:eastAsia="宋体" w:cs="宋体"/>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2022年办公设备购置项目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5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阜康市青少年活动中心</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阜康市青少年活动中心</w:t>
            </w:r>
          </w:p>
        </w:tc>
      </w:tr>
      <w:tr>
        <w:tblPrEx>
          <w:tblCellMar>
            <w:top w:w="0" w:type="dxa"/>
            <w:left w:w="108" w:type="dxa"/>
            <w:bottom w:w="0" w:type="dxa"/>
            <w:right w:w="108" w:type="dxa"/>
          </w:tblCellMar>
        </w:tblPrEx>
        <w:trPr>
          <w:trHeight w:val="50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项目资金</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w:t>
            </w:r>
          </w:p>
        </w:tc>
        <w:tc>
          <w:tcPr>
            <w:tcW w:w="11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0.8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w:t>
            </w:r>
          </w:p>
        </w:tc>
        <w:tc>
          <w:tcPr>
            <w:tcW w:w="11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0.8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8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08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3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5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7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13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本年度计划采购一批办公设备，保障活动中心各项工作平稳进行。</w:t>
            </w:r>
          </w:p>
        </w:tc>
        <w:tc>
          <w:tcPr>
            <w:tcW w:w="335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截止2022年7月完成会议桌及展柜等办公设备采购， 为提高广大青少年素质提供服务保障；为社会培养技能人才打好基础，更好地发挥科普示范和辐射带动作用，让科普公共服务持续惠及广大基层群众，为促进自治州全民科学素质的提升作出新的更大的贡献。                                                       </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绩</w:t>
            </w:r>
          </w:p>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w:t>
            </w:r>
          </w:p>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办公设备</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≧11个</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'=11个</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12</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12</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政府采购覆盖率</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设备验收合格率</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3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设备采购完成时间</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≤2022年12月</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≤2022年12月</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办公设备采购成本</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≤1万元</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0.8万元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default" w:ascii="宋体" w:hAnsi="宋体" w:eastAsia="宋体" w:cs="宋体"/>
                <w:kern w:val="0"/>
                <w:sz w:val="18"/>
                <w:szCs w:val="18"/>
                <w:lang w:val="en-US" w:eastAsia="zh-CN"/>
              </w:rPr>
              <w:t>受疫情影响，导致年底支付手续办理滞后，剩余资金已上缴国库。</w:t>
            </w: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设备利用率</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6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720" w:firstLineChars="400"/>
              <w:jc w:val="left"/>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43"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720" w:firstLineChars="400"/>
              <w:jc w:val="left"/>
              <w:rPr>
                <w:rFonts w:hint="eastAsia" w:ascii="宋体" w:hAnsi="宋体" w:eastAsia="宋体" w:cs="宋体"/>
                <w:color w:val="000000"/>
                <w:kern w:val="0"/>
                <w:sz w:val="18"/>
                <w:szCs w:val="18"/>
                <w:lang w:val="en-US" w:eastAsia="zh-CN"/>
              </w:rPr>
            </w:pPr>
            <w:r>
              <w:rPr>
                <w:rFonts w:hint="eastAsia" w:cs="宋体"/>
                <w:color w:val="000000"/>
                <w:kern w:val="0"/>
                <w:sz w:val="18"/>
                <w:szCs w:val="18"/>
                <w:lang w:val="en-US" w:eastAsia="zh-CN"/>
              </w:rPr>
              <w:t>/</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left"/>
              <w:rPr>
                <w:rFonts w:ascii="宋体" w:hAnsi="宋体" w:eastAsia="宋体" w:cs="宋体"/>
                <w:color w:val="000000"/>
                <w:kern w:val="0"/>
                <w:sz w:val="18"/>
                <w:szCs w:val="18"/>
              </w:rPr>
            </w:pPr>
            <w:r>
              <w:rPr>
                <w:rFonts w:hint="eastAsia" w:cs="宋体"/>
                <w:color w:val="000000"/>
                <w:kern w:val="0"/>
                <w:sz w:val="18"/>
                <w:szCs w:val="18"/>
                <w:lang w:val="en-US" w:eastAsia="zh-CN"/>
              </w:rPr>
              <w:t>保障活动中心各项工作平稳进行</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sz w:val="18"/>
                <w:szCs w:val="18"/>
              </w:rPr>
              <w:t>保障</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3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使用人员满意度</w:t>
            </w:r>
          </w:p>
        </w:tc>
        <w:tc>
          <w:tcPr>
            <w:tcW w:w="89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80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96</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bl>
    <w:p>
      <w:pPr>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highlight w:val="none"/>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highlight w:val="none"/>
          <w:lang w:val="en-US" w:eastAsia="zh-CN" w:bidi="ar-SA"/>
        </w:rPr>
        <w:t>项目支出绩效评价指标体系打分表</w:t>
      </w:r>
    </w:p>
    <w:tbl>
      <w:tblPr>
        <w:tblStyle w:val="12"/>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pPr>
              <w:pStyle w:val="2"/>
              <w:rPr>
                <w:rFonts w:hint="eastAsia"/>
                <w:lang w:eastAsia="zh-CN"/>
              </w:rPr>
            </w:pP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12</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E6BE8AC1"/>
    <w:multiLevelType w:val="singleLevel"/>
    <w:tmpl w:val="E6BE8AC1"/>
    <w:lvl w:ilvl="0" w:tentative="0">
      <w:start w:val="1"/>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77EE5581"/>
    <w:multiLevelType w:val="singleLevel"/>
    <w:tmpl w:val="77EE5581"/>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A05C99"/>
    <w:rsid w:val="04D63993"/>
    <w:rsid w:val="053E33E3"/>
    <w:rsid w:val="07890F4F"/>
    <w:rsid w:val="09781BD6"/>
    <w:rsid w:val="0D4452F3"/>
    <w:rsid w:val="0F5E5042"/>
    <w:rsid w:val="10510571"/>
    <w:rsid w:val="11FA6155"/>
    <w:rsid w:val="12CF0947"/>
    <w:rsid w:val="12F1313F"/>
    <w:rsid w:val="136C678E"/>
    <w:rsid w:val="13EB2FF5"/>
    <w:rsid w:val="14A168A1"/>
    <w:rsid w:val="165825BC"/>
    <w:rsid w:val="176F36D7"/>
    <w:rsid w:val="18456B1E"/>
    <w:rsid w:val="19154ECF"/>
    <w:rsid w:val="1C1171C5"/>
    <w:rsid w:val="1DA41A79"/>
    <w:rsid w:val="1DF53469"/>
    <w:rsid w:val="1E58492F"/>
    <w:rsid w:val="1E5B6757"/>
    <w:rsid w:val="1ED10AC6"/>
    <w:rsid w:val="1FC0575D"/>
    <w:rsid w:val="21B00C1D"/>
    <w:rsid w:val="23031BEB"/>
    <w:rsid w:val="23917691"/>
    <w:rsid w:val="244D65B8"/>
    <w:rsid w:val="245E1E24"/>
    <w:rsid w:val="27661469"/>
    <w:rsid w:val="27900EAD"/>
    <w:rsid w:val="279B538A"/>
    <w:rsid w:val="286F545C"/>
    <w:rsid w:val="29314FBC"/>
    <w:rsid w:val="29336176"/>
    <w:rsid w:val="2B4A716A"/>
    <w:rsid w:val="2C927671"/>
    <w:rsid w:val="2D7C5CD6"/>
    <w:rsid w:val="2E483E7E"/>
    <w:rsid w:val="2F454B19"/>
    <w:rsid w:val="31E3230A"/>
    <w:rsid w:val="33356F64"/>
    <w:rsid w:val="33944516"/>
    <w:rsid w:val="34B62907"/>
    <w:rsid w:val="37C65717"/>
    <w:rsid w:val="38782EDD"/>
    <w:rsid w:val="3B42664A"/>
    <w:rsid w:val="3D836A4E"/>
    <w:rsid w:val="3FBE0BC5"/>
    <w:rsid w:val="4048103A"/>
    <w:rsid w:val="435241E2"/>
    <w:rsid w:val="439E3FA7"/>
    <w:rsid w:val="44B32266"/>
    <w:rsid w:val="44FC64F4"/>
    <w:rsid w:val="467F4585"/>
    <w:rsid w:val="46DA6B6D"/>
    <w:rsid w:val="470628CB"/>
    <w:rsid w:val="47555BD4"/>
    <w:rsid w:val="48E12B50"/>
    <w:rsid w:val="49446618"/>
    <w:rsid w:val="499441BE"/>
    <w:rsid w:val="4A2138F0"/>
    <w:rsid w:val="4A583887"/>
    <w:rsid w:val="4B9F6E02"/>
    <w:rsid w:val="4C054980"/>
    <w:rsid w:val="4DFA717A"/>
    <w:rsid w:val="4E6E48A8"/>
    <w:rsid w:val="4EEC036B"/>
    <w:rsid w:val="501D2673"/>
    <w:rsid w:val="51852833"/>
    <w:rsid w:val="53555F0F"/>
    <w:rsid w:val="583C7AE0"/>
    <w:rsid w:val="59216F96"/>
    <w:rsid w:val="5B9D2CCD"/>
    <w:rsid w:val="5E2324D5"/>
    <w:rsid w:val="656416C4"/>
    <w:rsid w:val="67394C7D"/>
    <w:rsid w:val="68126B38"/>
    <w:rsid w:val="68291A1A"/>
    <w:rsid w:val="691B1594"/>
    <w:rsid w:val="6A17429C"/>
    <w:rsid w:val="6A567EA3"/>
    <w:rsid w:val="6B4B4368"/>
    <w:rsid w:val="6E557973"/>
    <w:rsid w:val="6F0D6C22"/>
    <w:rsid w:val="6F47657F"/>
    <w:rsid w:val="70670707"/>
    <w:rsid w:val="71AD374D"/>
    <w:rsid w:val="720E3691"/>
    <w:rsid w:val="732764B3"/>
    <w:rsid w:val="75E5007C"/>
    <w:rsid w:val="76206C56"/>
    <w:rsid w:val="77861774"/>
    <w:rsid w:val="79300B45"/>
    <w:rsid w:val="794D3E18"/>
    <w:rsid w:val="79F3729A"/>
    <w:rsid w:val="7ACB0498"/>
    <w:rsid w:val="7AED0B4D"/>
    <w:rsid w:val="7B5B15D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5"/>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7">
    <w:name w:val="annotation text"/>
    <w:basedOn w:val="1"/>
    <w:qFormat/>
    <w:uiPriority w:val="0"/>
    <w:pPr>
      <w:jc w:val="left"/>
    </w:pPr>
  </w:style>
  <w:style w:type="paragraph" w:styleId="8">
    <w:name w:val="Body Text"/>
    <w:basedOn w:val="1"/>
    <w:next w:val="9"/>
    <w:qFormat/>
    <w:uiPriority w:val="0"/>
    <w:pPr>
      <w:spacing w:before="240" w:after="240" w:line="360" w:lineRule="auto"/>
      <w:jc w:val="center"/>
    </w:pPr>
    <w:rPr>
      <w:b/>
      <w:sz w:val="44"/>
    </w:rPr>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4">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5">
    <w:name w:val="标题 2 Char"/>
    <w:link w:val="4"/>
    <w:qFormat/>
    <w:uiPriority w:val="0"/>
    <w:rPr>
      <w:rFonts w:ascii="Arial" w:hAnsi="Arial" w:eastAsia="楷体"/>
      <w:b/>
      <w:sz w:val="32"/>
    </w:rPr>
  </w:style>
  <w:style w:type="paragraph" w:styleId="16">
    <w:name w:val="List Paragraph"/>
    <w:basedOn w:val="1"/>
    <w:qFormat/>
    <w:uiPriority w:val="99"/>
    <w:pPr>
      <w:spacing w:line="560" w:lineRule="exact"/>
      <w:ind w:firstLine="420"/>
    </w:pPr>
    <w:rPr>
      <w:rFonts w:ascii="仿宋" w:hAnsi="仿宋" w:eastAsia="仿宋"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11520</Words>
  <Characters>12000</Characters>
  <Lines>0</Lines>
  <Paragraphs>0</Paragraphs>
  <TotalTime>0</TotalTime>
  <ScaleCrop>false</ScaleCrop>
  <LinksUpToDate>false</LinksUpToDate>
  <CharactersWithSpaces>12111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